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93" w:type="dxa"/>
        <w:tblInd w:w="-1139" w:type="dxa"/>
        <w:tblLook w:val="04A0" w:firstRow="1" w:lastRow="0" w:firstColumn="1" w:lastColumn="0" w:noHBand="0" w:noVBand="1"/>
      </w:tblPr>
      <w:tblGrid>
        <w:gridCol w:w="2490"/>
        <w:gridCol w:w="2897"/>
        <w:gridCol w:w="3118"/>
        <w:gridCol w:w="2835"/>
        <w:gridCol w:w="2835"/>
        <w:gridCol w:w="1418"/>
      </w:tblGrid>
      <w:tr w:rsidR="00904E30" w14:paraId="411F751A" w14:textId="77777777" w:rsidTr="00673BBA">
        <w:tc>
          <w:tcPr>
            <w:tcW w:w="2490" w:type="dxa"/>
          </w:tcPr>
          <w:p w14:paraId="426A5F4E" w14:textId="77777777" w:rsidR="00F17E1A" w:rsidRDefault="00F17E1A"/>
        </w:tc>
        <w:tc>
          <w:tcPr>
            <w:tcW w:w="2897" w:type="dxa"/>
          </w:tcPr>
          <w:p w14:paraId="05D7169F" w14:textId="13FBAAB4" w:rsidR="00F17E1A" w:rsidRPr="007E17C3" w:rsidRDefault="00F17E1A">
            <w:pPr>
              <w:rPr>
                <w:highlight w:val="magenta"/>
              </w:rPr>
            </w:pPr>
            <w:r w:rsidRPr="007E17C3">
              <w:rPr>
                <w:highlight w:val="magenta"/>
              </w:rPr>
              <w:t>Objectif</w:t>
            </w:r>
          </w:p>
        </w:tc>
        <w:tc>
          <w:tcPr>
            <w:tcW w:w="3118" w:type="dxa"/>
          </w:tcPr>
          <w:p w14:paraId="278B78BA" w14:textId="5BA5BADF" w:rsidR="00F17E1A" w:rsidRPr="007E17C3" w:rsidRDefault="00F17E1A">
            <w:pPr>
              <w:rPr>
                <w:highlight w:val="magenta"/>
              </w:rPr>
            </w:pPr>
            <w:r w:rsidRPr="007E17C3">
              <w:rPr>
                <w:highlight w:val="magenta"/>
              </w:rPr>
              <w:t>Approche</w:t>
            </w:r>
          </w:p>
        </w:tc>
        <w:tc>
          <w:tcPr>
            <w:tcW w:w="2835" w:type="dxa"/>
          </w:tcPr>
          <w:p w14:paraId="2CA33C6E" w14:textId="7AE4A672" w:rsidR="00F17E1A" w:rsidRPr="007E17C3" w:rsidRDefault="004304C4">
            <w:pPr>
              <w:rPr>
                <w:highlight w:val="magenta"/>
              </w:rPr>
            </w:pPr>
            <w:r>
              <w:rPr>
                <w:highlight w:val="magenta"/>
              </w:rPr>
              <w:t>Méthodologie</w:t>
            </w:r>
          </w:p>
        </w:tc>
        <w:tc>
          <w:tcPr>
            <w:tcW w:w="2835" w:type="dxa"/>
          </w:tcPr>
          <w:p w14:paraId="0D521F08" w14:textId="2BD83393" w:rsidR="00F17E1A" w:rsidRPr="007E17C3" w:rsidRDefault="00F17E1A">
            <w:pPr>
              <w:rPr>
                <w:highlight w:val="magenta"/>
              </w:rPr>
            </w:pPr>
            <w:r w:rsidRPr="007E17C3">
              <w:rPr>
                <w:highlight w:val="magenta"/>
              </w:rPr>
              <w:t>Perspective</w:t>
            </w:r>
          </w:p>
        </w:tc>
        <w:tc>
          <w:tcPr>
            <w:tcW w:w="1418" w:type="dxa"/>
          </w:tcPr>
          <w:p w14:paraId="227D2BEF" w14:textId="2BD56EB9" w:rsidR="00F17E1A" w:rsidRPr="007E17C3" w:rsidRDefault="00F17E1A">
            <w:pPr>
              <w:rPr>
                <w:highlight w:val="magenta"/>
              </w:rPr>
            </w:pPr>
            <w:r w:rsidRPr="007E17C3">
              <w:rPr>
                <w:highlight w:val="magenta"/>
              </w:rPr>
              <w:t>Évaluation</w:t>
            </w:r>
          </w:p>
        </w:tc>
      </w:tr>
      <w:tr w:rsidR="00904E30" w14:paraId="6DA95F25" w14:textId="77777777" w:rsidTr="00673BBA">
        <w:tc>
          <w:tcPr>
            <w:tcW w:w="2490" w:type="dxa"/>
          </w:tcPr>
          <w:p w14:paraId="6EDC4168" w14:textId="6BEF65A2" w:rsidR="00F17E1A" w:rsidRPr="00971879" w:rsidRDefault="00F17E1A">
            <w:pPr>
              <w:rPr>
                <w:highlight w:val="cyan"/>
                <w:lang w:val="en-GB"/>
              </w:rPr>
            </w:pPr>
            <w:r w:rsidRPr="00971879">
              <w:rPr>
                <w:highlight w:val="cyan"/>
                <w:lang w:val="en-GB"/>
              </w:rPr>
              <w:t>1 : Le droit en tant qu’outil légitime d’organisation sociale</w:t>
            </w:r>
          </w:p>
        </w:tc>
        <w:tc>
          <w:tcPr>
            <w:tcW w:w="2897" w:type="dxa"/>
          </w:tcPr>
          <w:p w14:paraId="12C62041" w14:textId="33F5E9FB" w:rsidR="00F17E1A" w:rsidRPr="00971879" w:rsidRDefault="00F17E1A">
            <w:pPr>
              <w:rPr>
                <w:lang w:val="en-GB"/>
              </w:rPr>
            </w:pPr>
            <w:r w:rsidRPr="00971879">
              <w:rPr>
                <w:b/>
                <w:bCs/>
                <w:lang w:val="en-GB"/>
              </w:rPr>
              <w:t xml:space="preserve">Imposer </w:t>
            </w:r>
            <w:r w:rsidRPr="00971879">
              <w:rPr>
                <w:lang w:val="en-GB"/>
              </w:rPr>
              <w:t xml:space="preserve">la loi à la société, </w:t>
            </w:r>
            <w:r w:rsidRPr="00971879">
              <w:rPr>
                <w:b/>
                <w:bCs/>
                <w:lang w:val="en-GB"/>
              </w:rPr>
              <w:t>renforcer la légitimité</w:t>
            </w:r>
          </w:p>
        </w:tc>
        <w:tc>
          <w:tcPr>
            <w:tcW w:w="3118" w:type="dxa"/>
          </w:tcPr>
          <w:p w14:paraId="54D3376C" w14:textId="77777777" w:rsidR="00953369" w:rsidRPr="00971879" w:rsidRDefault="00953369">
            <w:pPr>
              <w:rPr>
                <w:lang w:val="en-GB"/>
              </w:rPr>
            </w:pPr>
          </w:p>
          <w:p w14:paraId="23CF5B69" w14:textId="77777777" w:rsidR="00904E30" w:rsidRDefault="00904E30">
            <w:pPr>
              <w:rPr>
                <w:lang w:val="fr-FR"/>
              </w:rPr>
            </w:pPr>
            <w:r w:rsidRPr="00597EB3">
              <w:rPr>
                <w:highlight w:val="yellow"/>
                <w:lang w:val="fr-FR"/>
              </w:rPr>
              <w:t>CONVENTIONNELLE/</w:t>
            </w:r>
          </w:p>
          <w:p w14:paraId="55D01FA0" w14:textId="26DA67DD" w:rsidR="00953369" w:rsidRPr="002C41EA" w:rsidRDefault="00904E30">
            <w:pPr>
              <w:rPr>
                <w:lang w:val="fr-FR"/>
              </w:rPr>
            </w:pPr>
            <w:r w:rsidRPr="00904E30">
              <w:rPr>
                <w:highlight w:val="yellow"/>
                <w:lang w:val="fr-FR"/>
              </w:rPr>
              <w:t>TRADITIONNEL</w:t>
            </w:r>
          </w:p>
        </w:tc>
        <w:tc>
          <w:tcPr>
            <w:tcW w:w="2835" w:type="dxa"/>
          </w:tcPr>
          <w:p w14:paraId="1764D5B6" w14:textId="27CC9210" w:rsidR="001B2DE8" w:rsidRPr="00971879" w:rsidRDefault="00F17E1A">
            <w:pPr>
              <w:rPr>
                <w:lang w:val="en-GB"/>
              </w:rPr>
            </w:pPr>
            <w:r w:rsidRPr="00971879">
              <w:rPr>
                <w:b/>
                <w:bCs/>
                <w:lang w:val="en-GB"/>
              </w:rPr>
              <w:t xml:space="preserve">Sources : </w:t>
            </w:r>
            <w:r w:rsidR="00940BBA">
              <w:rPr>
                <w:lang w:val="en-GB"/>
              </w:rPr>
              <w:t>législation</w:t>
            </w:r>
            <w:r w:rsidR="002B4B71" w:rsidRPr="00971879">
              <w:rPr>
                <w:lang w:val="en-GB"/>
              </w:rPr>
              <w:t>, jurisprudence, doctrine juridique</w:t>
            </w:r>
          </w:p>
          <w:p w14:paraId="74CCE229" w14:textId="77777777" w:rsidR="00F17E1A" w:rsidRPr="00971879" w:rsidRDefault="00F17E1A">
            <w:pPr>
              <w:rPr>
                <w:lang w:val="en-GB"/>
              </w:rPr>
            </w:pPr>
            <w:r w:rsidRPr="00971879">
              <w:rPr>
                <w:b/>
                <w:bCs/>
                <w:lang w:val="en-GB"/>
              </w:rPr>
              <w:t xml:space="preserve">Méthodes </w:t>
            </w:r>
            <w:r w:rsidRPr="00971879">
              <w:rPr>
                <w:lang w:val="en-GB"/>
              </w:rPr>
              <w:t xml:space="preserve">: </w:t>
            </w:r>
            <w:r w:rsidR="002B4B71" w:rsidRPr="00971879">
              <w:rPr>
                <w:lang w:val="en-GB"/>
              </w:rPr>
              <w:t>techniques d'interprétation et de raisonnement juridique</w:t>
            </w:r>
          </w:p>
          <w:p w14:paraId="2C5A17F1" w14:textId="08048FC0" w:rsidR="00404EFA" w:rsidRPr="00971879" w:rsidRDefault="00404EFA">
            <w:pPr>
              <w:rPr>
                <w:lang w:val="en-GB"/>
              </w:rPr>
            </w:pPr>
          </w:p>
        </w:tc>
        <w:tc>
          <w:tcPr>
            <w:tcW w:w="2835" w:type="dxa"/>
          </w:tcPr>
          <w:p w14:paraId="175531B9" w14:textId="37553F1E" w:rsidR="00F17E1A" w:rsidRDefault="00F17E1A">
            <w:r w:rsidRPr="00953369">
              <w:rPr>
                <w:b/>
                <w:bCs/>
              </w:rPr>
              <w:t xml:space="preserve">Interne </w:t>
            </w:r>
            <w:r>
              <w:t>(au sein du système)</w:t>
            </w:r>
          </w:p>
        </w:tc>
        <w:tc>
          <w:tcPr>
            <w:tcW w:w="1418" w:type="dxa"/>
          </w:tcPr>
          <w:p w14:paraId="3A615063" w14:textId="761ED9ED" w:rsidR="00F17E1A" w:rsidRPr="00953369" w:rsidRDefault="00F17E1A">
            <w:pPr>
              <w:rPr>
                <w:b/>
                <w:bCs/>
              </w:rPr>
            </w:pPr>
            <w:r w:rsidRPr="00953369">
              <w:rPr>
                <w:b/>
                <w:bCs/>
              </w:rPr>
              <w:t>Légitimité</w:t>
            </w:r>
          </w:p>
        </w:tc>
      </w:tr>
      <w:tr w:rsidR="00904E30" w:rsidRPr="00851C2B" w14:paraId="520829A1" w14:textId="77777777" w:rsidTr="00673BBA">
        <w:tc>
          <w:tcPr>
            <w:tcW w:w="2490" w:type="dxa"/>
          </w:tcPr>
          <w:p w14:paraId="15B40176" w14:textId="0250F481" w:rsidR="00F17E1A" w:rsidRPr="00971879" w:rsidRDefault="00F17E1A">
            <w:pPr>
              <w:rPr>
                <w:lang w:val="en-GB"/>
              </w:rPr>
            </w:pPr>
            <w:r w:rsidRPr="00971879">
              <w:rPr>
                <w:highlight w:val="cyan"/>
                <w:lang w:val="en-GB"/>
              </w:rPr>
              <w:t>2 : Le droit en tant qu’instrument de pouvoir</w:t>
            </w:r>
          </w:p>
        </w:tc>
        <w:tc>
          <w:tcPr>
            <w:tcW w:w="2897" w:type="dxa"/>
          </w:tcPr>
          <w:p w14:paraId="1345C836" w14:textId="77777777" w:rsidR="00F17E1A" w:rsidRPr="00971879" w:rsidRDefault="00F17E1A">
            <w:pPr>
              <w:rPr>
                <w:lang w:val="en-GB"/>
              </w:rPr>
            </w:pPr>
            <w:r w:rsidRPr="00971879">
              <w:rPr>
                <w:b/>
                <w:bCs/>
                <w:lang w:val="en-GB"/>
              </w:rPr>
              <w:t xml:space="preserve">Délégitimer </w:t>
            </w:r>
            <w:r w:rsidRPr="00971879">
              <w:rPr>
                <w:lang w:val="en-GB"/>
              </w:rPr>
              <w:t xml:space="preserve">le droit parce qu’il est un </w:t>
            </w:r>
            <w:r w:rsidRPr="00971879">
              <w:rPr>
                <w:b/>
                <w:bCs/>
                <w:lang w:val="en-GB"/>
              </w:rPr>
              <w:t xml:space="preserve">instrument de pouvoir </w:t>
            </w:r>
            <w:r w:rsidRPr="00971879">
              <w:rPr>
                <w:lang w:val="en-GB"/>
              </w:rPr>
              <w:t xml:space="preserve">(et que le discours du droit sur lui-même est donc une imposture), </w:t>
            </w:r>
          </w:p>
          <w:p w14:paraId="35A8B873" w14:textId="053454E1" w:rsidR="00F17E1A" w:rsidRPr="00971879" w:rsidRDefault="00F17E1A">
            <w:pPr>
              <w:rPr>
                <w:lang w:val="en-GB"/>
              </w:rPr>
            </w:pPr>
            <w:r w:rsidRPr="00971879">
              <w:rPr>
                <w:b/>
                <w:bCs/>
                <w:lang w:val="en-GB"/>
              </w:rPr>
              <w:t xml:space="preserve">Déconstruire </w:t>
            </w:r>
            <w:r w:rsidRPr="00971879">
              <w:rPr>
                <w:lang w:val="en-GB"/>
              </w:rPr>
              <w:t xml:space="preserve">le discours du droit sur lui-même </w:t>
            </w:r>
          </w:p>
        </w:tc>
        <w:tc>
          <w:tcPr>
            <w:tcW w:w="3118" w:type="dxa"/>
          </w:tcPr>
          <w:p w14:paraId="7897953E" w14:textId="30D259F4" w:rsidR="00F17E1A" w:rsidRPr="00971879" w:rsidRDefault="00F17E1A">
            <w:pPr>
              <w:rPr>
                <w:lang w:val="en-GB"/>
              </w:rPr>
            </w:pPr>
            <w:r w:rsidRPr="00971879">
              <w:rPr>
                <w:b/>
                <w:bCs/>
                <w:lang w:val="en-GB"/>
              </w:rPr>
              <w:t>approche interdisciplinaire</w:t>
            </w:r>
          </w:p>
          <w:p w14:paraId="037F191E" w14:textId="77777777" w:rsidR="00503661" w:rsidRPr="00971879" w:rsidRDefault="00503661">
            <w:pPr>
              <w:rPr>
                <w:lang w:val="en-GB"/>
              </w:rPr>
            </w:pPr>
          </w:p>
          <w:p w14:paraId="24B8F08A" w14:textId="26A2997B" w:rsidR="00503661" w:rsidRPr="00971879" w:rsidRDefault="00503661">
            <w:pPr>
              <w:rPr>
                <w:lang w:val="en-GB"/>
              </w:rPr>
            </w:pPr>
            <w:r w:rsidRPr="00971879">
              <w:rPr>
                <w:highlight w:val="yellow"/>
                <w:lang w:val="en-GB"/>
              </w:rPr>
              <w:t xml:space="preserve">CRITIQUE </w:t>
            </w:r>
            <w:r w:rsidR="00636574" w:rsidRPr="00971879">
              <w:rPr>
                <w:highlight w:val="yellow"/>
                <w:lang w:val="en-GB"/>
              </w:rPr>
              <w:t>« RADICALE »</w:t>
            </w:r>
          </w:p>
        </w:tc>
        <w:tc>
          <w:tcPr>
            <w:tcW w:w="2835" w:type="dxa"/>
          </w:tcPr>
          <w:p w14:paraId="6DB90D55" w14:textId="19AB22B8" w:rsidR="00B535FA" w:rsidRPr="00971879" w:rsidRDefault="00F17E1A">
            <w:pPr>
              <w:rPr>
                <w:lang w:val="en-GB"/>
              </w:rPr>
            </w:pPr>
            <w:r w:rsidRPr="00971879">
              <w:rPr>
                <w:b/>
                <w:bCs/>
                <w:lang w:val="en-GB"/>
              </w:rPr>
              <w:t xml:space="preserve">Sources </w:t>
            </w:r>
            <w:r w:rsidRPr="00971879">
              <w:rPr>
                <w:lang w:val="en-GB"/>
              </w:rPr>
              <w:t xml:space="preserve">: </w:t>
            </w:r>
            <w:r w:rsidR="00503661" w:rsidRPr="00971879">
              <w:rPr>
                <w:lang w:val="en-GB"/>
              </w:rPr>
              <w:t xml:space="preserve">littérature </w:t>
            </w:r>
            <w:r w:rsidR="003D6DD5">
              <w:rPr>
                <w:lang w:val="en-GB"/>
              </w:rPr>
              <w:t xml:space="preserve">non </w:t>
            </w:r>
            <w:r w:rsidR="00456DED" w:rsidRPr="00971879">
              <w:rPr>
                <w:lang w:val="en-GB"/>
              </w:rPr>
              <w:t>juridique</w:t>
            </w:r>
            <w:r w:rsidR="00503661" w:rsidRPr="00971879">
              <w:rPr>
                <w:lang w:val="en-GB"/>
              </w:rPr>
              <w:t xml:space="preserve"> </w:t>
            </w:r>
          </w:p>
          <w:p w14:paraId="46B6EA9C" w14:textId="1F072417" w:rsidR="00F17E1A" w:rsidRPr="00971879" w:rsidRDefault="00F17E1A">
            <w:pPr>
              <w:rPr>
                <w:lang w:val="en-GB"/>
              </w:rPr>
            </w:pPr>
            <w:r w:rsidRPr="00971879">
              <w:rPr>
                <w:b/>
                <w:bCs/>
                <w:lang w:val="en-GB"/>
              </w:rPr>
              <w:t xml:space="preserve">Méthodes </w:t>
            </w:r>
            <w:r w:rsidRPr="00971879">
              <w:rPr>
                <w:lang w:val="en-GB"/>
              </w:rPr>
              <w:t xml:space="preserve">: </w:t>
            </w:r>
            <w:r w:rsidR="009B70CE">
              <w:rPr>
                <w:lang w:val="en-GB"/>
              </w:rPr>
              <w:t>raisonnement non juridique</w:t>
            </w:r>
          </w:p>
          <w:p w14:paraId="65F0B306" w14:textId="7E5D5A1A" w:rsidR="00574A22" w:rsidRPr="000D37F3" w:rsidRDefault="00574A22">
            <w:pPr>
              <w:rPr>
                <w:lang w:val="en-GB"/>
              </w:rPr>
            </w:pPr>
          </w:p>
        </w:tc>
        <w:tc>
          <w:tcPr>
            <w:tcW w:w="2835" w:type="dxa"/>
          </w:tcPr>
          <w:p w14:paraId="5E10E5AA" w14:textId="48D58728" w:rsidR="00F17E1A" w:rsidRPr="00971879" w:rsidRDefault="003D6DD5">
            <w:pPr>
              <w:rPr>
                <w:lang w:val="en-GB"/>
              </w:rPr>
            </w:pPr>
            <w:r w:rsidRPr="003D6DD5">
              <w:rPr>
                <w:b/>
                <w:bCs/>
                <w:lang w:val="en-GB"/>
              </w:rPr>
              <w:t xml:space="preserve">Externe </w:t>
            </w:r>
            <w:r>
              <w:rPr>
                <w:lang w:val="en-GB"/>
              </w:rPr>
              <w:t>(en dehors du système)</w:t>
            </w:r>
          </w:p>
        </w:tc>
        <w:tc>
          <w:tcPr>
            <w:tcW w:w="1418" w:type="dxa"/>
          </w:tcPr>
          <w:p w14:paraId="49478798" w14:textId="55CB4E71" w:rsidR="00F17E1A" w:rsidRPr="00953369" w:rsidRDefault="00F17E1A">
            <w:pPr>
              <w:rPr>
                <w:b/>
                <w:bCs/>
                <w:lang w:val="fr-FR"/>
              </w:rPr>
            </w:pPr>
            <w:r w:rsidRPr="00953369">
              <w:rPr>
                <w:b/>
                <w:bCs/>
                <w:lang w:val="fr-FR"/>
              </w:rPr>
              <w:t>Légitimité</w:t>
            </w:r>
          </w:p>
        </w:tc>
      </w:tr>
      <w:tr w:rsidR="00904E30" w14:paraId="41AFC5C5" w14:textId="77777777" w:rsidTr="00673BBA">
        <w:tc>
          <w:tcPr>
            <w:tcW w:w="2490" w:type="dxa"/>
          </w:tcPr>
          <w:p w14:paraId="26B68219" w14:textId="77777777" w:rsidR="00F17E1A" w:rsidRDefault="00F17E1A">
            <w:pPr>
              <w:rPr>
                <w:lang w:val="en-GB"/>
              </w:rPr>
            </w:pPr>
            <w:r w:rsidRPr="00971879">
              <w:rPr>
                <w:highlight w:val="cyan"/>
                <w:lang w:val="en-GB"/>
              </w:rPr>
              <w:t>3 : le droit en tant que phénomène social, soit en tant que pratique sociale, soit en tant qu’ensemble de règles qui n’ont de sens que lorsqu’elles sont mises en œuvre</w:t>
            </w:r>
          </w:p>
          <w:p w14:paraId="0450447A" w14:textId="77777777" w:rsidR="00444A6E" w:rsidRDefault="00444A6E">
            <w:pPr>
              <w:rPr>
                <w:lang w:val="en-GB"/>
              </w:rPr>
            </w:pPr>
          </w:p>
          <w:p w14:paraId="1E31E2B4" w14:textId="5950C6BE" w:rsidR="00444A6E" w:rsidRPr="00971879" w:rsidRDefault="00444A6E">
            <w:pPr>
              <w:rPr>
                <w:lang w:val="en-GB"/>
              </w:rPr>
            </w:pPr>
            <w:r>
              <w:rPr>
                <w:lang w:val="en-GB"/>
              </w:rPr>
              <w:t xml:space="preserve">= </w:t>
            </w:r>
            <w:r w:rsidRPr="00444A6E">
              <w:rPr>
                <w:shd w:val="clear" w:color="auto" w:fill="EE0000"/>
                <w:lang w:val="en-GB"/>
              </w:rPr>
              <w:t>études socio-juridiques</w:t>
            </w:r>
          </w:p>
        </w:tc>
        <w:tc>
          <w:tcPr>
            <w:tcW w:w="2897" w:type="dxa"/>
          </w:tcPr>
          <w:p w14:paraId="7AD2C55D" w14:textId="78238510" w:rsidR="00F17E1A" w:rsidRPr="00971879" w:rsidRDefault="00F17E1A">
            <w:pPr>
              <w:rPr>
                <w:lang w:val="en-GB"/>
              </w:rPr>
            </w:pPr>
            <w:r w:rsidRPr="00971879">
              <w:rPr>
                <w:b/>
                <w:bCs/>
                <w:lang w:val="en-GB"/>
              </w:rPr>
              <w:t xml:space="preserve">Relier </w:t>
            </w:r>
            <w:r w:rsidRPr="00971879">
              <w:rPr>
                <w:lang w:val="en-GB"/>
              </w:rPr>
              <w:t xml:space="preserve">le droit à la société, car c’est ainsi qu’il acquiert sa légitimité. </w:t>
            </w:r>
            <w:r w:rsidR="00597EB3">
              <w:rPr>
                <w:lang w:val="en-GB"/>
              </w:rPr>
              <w:t>Par conséquent</w:t>
            </w:r>
            <w:r w:rsidRPr="00971879">
              <w:rPr>
                <w:lang w:val="en-GB"/>
              </w:rPr>
              <w:t xml:space="preserve">, il faut également prendre en compte son </w:t>
            </w:r>
            <w:r w:rsidRPr="00971879">
              <w:rPr>
                <w:b/>
                <w:bCs/>
                <w:lang w:val="en-GB"/>
              </w:rPr>
              <w:t xml:space="preserve">efficacité </w:t>
            </w:r>
            <w:r w:rsidRPr="00971879">
              <w:rPr>
                <w:lang w:val="en-GB"/>
              </w:rPr>
              <w:t xml:space="preserve">(est-il réellement appliqué ?) et son </w:t>
            </w:r>
            <w:r w:rsidRPr="00971879">
              <w:rPr>
                <w:b/>
                <w:bCs/>
                <w:lang w:val="en-GB"/>
              </w:rPr>
              <w:t xml:space="preserve">efficience </w:t>
            </w:r>
            <w:r w:rsidRPr="00971879">
              <w:rPr>
                <w:lang w:val="en-GB"/>
              </w:rPr>
              <w:t>(atteint-il son objectif ?)</w:t>
            </w:r>
          </w:p>
        </w:tc>
        <w:tc>
          <w:tcPr>
            <w:tcW w:w="3118" w:type="dxa"/>
          </w:tcPr>
          <w:p w14:paraId="257A5A36" w14:textId="69F8D841" w:rsidR="00F17E1A" w:rsidRPr="00971879" w:rsidRDefault="00F50C68">
            <w:pPr>
              <w:rPr>
                <w:lang w:val="en-GB"/>
              </w:rPr>
            </w:pPr>
            <w:r>
              <w:rPr>
                <w:b/>
                <w:bCs/>
                <w:lang w:val="en-GB"/>
              </w:rPr>
              <w:t>approche</w:t>
            </w:r>
            <w:r w:rsidR="00F17E1A" w:rsidRPr="00971879">
              <w:rPr>
                <w:b/>
                <w:bCs/>
                <w:lang w:val="en-GB"/>
              </w:rPr>
              <w:t xml:space="preserve"> interdisciplinaire</w:t>
            </w:r>
          </w:p>
          <w:p w14:paraId="74B214CB" w14:textId="77777777" w:rsidR="00503661" w:rsidRPr="00971879" w:rsidRDefault="00503661">
            <w:pPr>
              <w:rPr>
                <w:lang w:val="en-GB"/>
              </w:rPr>
            </w:pPr>
          </w:p>
          <w:p w14:paraId="0BE0498E" w14:textId="55653583" w:rsidR="00503661" w:rsidRPr="00971879" w:rsidRDefault="00503661">
            <w:pPr>
              <w:rPr>
                <w:lang w:val="en-GB"/>
              </w:rPr>
            </w:pPr>
            <w:r w:rsidRPr="00971879">
              <w:rPr>
                <w:highlight w:val="yellow"/>
                <w:lang w:val="en-GB"/>
              </w:rPr>
              <w:t>CRITIQUE AU SENS LARGE</w:t>
            </w:r>
          </w:p>
          <w:p w14:paraId="02EA86E9" w14:textId="46E6D308" w:rsidR="00D04EFB" w:rsidRPr="000D37F3" w:rsidRDefault="00D04EFB">
            <w:pPr>
              <w:rPr>
                <w:lang w:val="en-GB"/>
              </w:rPr>
            </w:pPr>
          </w:p>
        </w:tc>
        <w:tc>
          <w:tcPr>
            <w:tcW w:w="2835" w:type="dxa"/>
          </w:tcPr>
          <w:p w14:paraId="24B7E6ED" w14:textId="5F5A476C" w:rsidR="00F17E1A" w:rsidRPr="00971879" w:rsidRDefault="00F17E1A">
            <w:pPr>
              <w:rPr>
                <w:lang w:val="en-GB"/>
              </w:rPr>
            </w:pPr>
            <w:r w:rsidRPr="00971879">
              <w:rPr>
                <w:b/>
                <w:bCs/>
                <w:lang w:val="en-GB"/>
              </w:rPr>
              <w:t xml:space="preserve">Sources </w:t>
            </w:r>
            <w:r w:rsidRPr="00971879">
              <w:rPr>
                <w:lang w:val="en-GB"/>
              </w:rPr>
              <w:t>:</w:t>
            </w:r>
            <w:r w:rsidR="00BC3308" w:rsidRPr="00971879">
              <w:rPr>
                <w:lang w:val="en-GB"/>
              </w:rPr>
              <w:t xml:space="preserve"> 1 + recours à la littérature non juridique</w:t>
            </w:r>
          </w:p>
          <w:p w14:paraId="7A465183" w14:textId="2572DD11" w:rsidR="00F17E1A" w:rsidRPr="00971879" w:rsidRDefault="00F17E1A">
            <w:pPr>
              <w:rPr>
                <w:lang w:val="en-GB"/>
              </w:rPr>
            </w:pPr>
            <w:r w:rsidRPr="00971879">
              <w:rPr>
                <w:b/>
                <w:bCs/>
                <w:lang w:val="en-GB"/>
              </w:rPr>
              <w:t xml:space="preserve">Méthodes </w:t>
            </w:r>
            <w:r w:rsidRPr="00971879">
              <w:rPr>
                <w:lang w:val="en-GB"/>
              </w:rPr>
              <w:t>:</w:t>
            </w:r>
            <w:r w:rsidR="000E202A" w:rsidRPr="00971879">
              <w:rPr>
                <w:lang w:val="en-GB"/>
              </w:rPr>
              <w:t xml:space="preserve"> 1 </w:t>
            </w:r>
            <w:r w:rsidR="00CB7DF9" w:rsidRPr="00971879">
              <w:rPr>
                <w:lang w:val="en-GB"/>
              </w:rPr>
              <w:t xml:space="preserve">+ méthodes empiriques issues des sciences sociales (qualitatives et quantitatives) </w:t>
            </w:r>
            <w:r w:rsidR="007B70C2" w:rsidRPr="00971879">
              <w:rPr>
                <w:lang w:val="en-GB"/>
              </w:rPr>
              <w:t xml:space="preserve">= </w:t>
            </w:r>
            <w:r w:rsidR="007B70C2" w:rsidRPr="005E01F4">
              <w:rPr>
                <w:i/>
                <w:iCs/>
                <w:shd w:val="clear" w:color="auto" w:fill="EE0000"/>
                <w:lang w:val="en-GB"/>
              </w:rPr>
              <w:t>Approche empirique</w:t>
            </w:r>
          </w:p>
        </w:tc>
        <w:tc>
          <w:tcPr>
            <w:tcW w:w="2835" w:type="dxa"/>
          </w:tcPr>
          <w:p w14:paraId="76B2099F" w14:textId="51830C1F" w:rsidR="00F17E1A" w:rsidRPr="00781CCB" w:rsidRDefault="00781CCB">
            <w:pPr>
              <w:rPr>
                <w:lang w:val="en-GB"/>
              </w:rPr>
            </w:pPr>
            <w:r>
              <w:rPr>
                <w:b/>
                <w:bCs/>
                <w:lang w:val="en-GB"/>
              </w:rPr>
              <w:t xml:space="preserve">Ouverte et interne </w:t>
            </w:r>
            <w:r w:rsidRPr="00781CCB">
              <w:rPr>
                <w:lang w:val="en-GB"/>
              </w:rPr>
              <w:t>(</w:t>
            </w:r>
            <w:r>
              <w:rPr>
                <w:lang w:val="en-GB"/>
              </w:rPr>
              <w:t>au sein du système tout en s'efforçant de refléter l'extérieur)</w:t>
            </w:r>
          </w:p>
        </w:tc>
        <w:tc>
          <w:tcPr>
            <w:tcW w:w="1418" w:type="dxa"/>
          </w:tcPr>
          <w:p w14:paraId="4EB45355" w14:textId="77777777" w:rsidR="00F17E1A" w:rsidRPr="00953369" w:rsidRDefault="00F17E1A">
            <w:pPr>
              <w:rPr>
                <w:b/>
                <w:bCs/>
              </w:rPr>
            </w:pPr>
            <w:r w:rsidRPr="00953369">
              <w:rPr>
                <w:b/>
                <w:bCs/>
              </w:rPr>
              <w:t>Légitimité</w:t>
            </w:r>
          </w:p>
          <w:p w14:paraId="18408147" w14:textId="77777777" w:rsidR="00F17E1A" w:rsidRPr="00953369" w:rsidRDefault="00F17E1A">
            <w:pPr>
              <w:rPr>
                <w:b/>
                <w:bCs/>
              </w:rPr>
            </w:pPr>
            <w:r w:rsidRPr="00953369">
              <w:rPr>
                <w:b/>
                <w:bCs/>
              </w:rPr>
              <w:t>Efficacité</w:t>
            </w:r>
          </w:p>
          <w:p w14:paraId="2728136C" w14:textId="6213BE48" w:rsidR="00F17E1A" w:rsidRDefault="00F17E1A">
            <w:r w:rsidRPr="00953369">
              <w:rPr>
                <w:b/>
                <w:bCs/>
              </w:rPr>
              <w:t>Efficacité</w:t>
            </w:r>
          </w:p>
        </w:tc>
      </w:tr>
    </w:tbl>
    <w:p w14:paraId="40CA0CDD" w14:textId="77777777" w:rsidR="00B64684" w:rsidRDefault="00B64684"/>
    <w:sectPr w:rsidR="00B64684" w:rsidSect="00113F4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C2B"/>
    <w:rsid w:val="0001001C"/>
    <w:rsid w:val="000510BD"/>
    <w:rsid w:val="00094234"/>
    <w:rsid w:val="000D37F3"/>
    <w:rsid w:val="000E202A"/>
    <w:rsid w:val="000E2F21"/>
    <w:rsid w:val="000E419B"/>
    <w:rsid w:val="00113F4D"/>
    <w:rsid w:val="00116A09"/>
    <w:rsid w:val="001B2DE8"/>
    <w:rsid w:val="001D7D3B"/>
    <w:rsid w:val="00276829"/>
    <w:rsid w:val="002B4B71"/>
    <w:rsid w:val="002C41EA"/>
    <w:rsid w:val="002D6B39"/>
    <w:rsid w:val="00327158"/>
    <w:rsid w:val="0034471B"/>
    <w:rsid w:val="00353D33"/>
    <w:rsid w:val="003B0B2C"/>
    <w:rsid w:val="003B77D9"/>
    <w:rsid w:val="003D6DD5"/>
    <w:rsid w:val="003E454D"/>
    <w:rsid w:val="00404EFA"/>
    <w:rsid w:val="00410F72"/>
    <w:rsid w:val="004304C4"/>
    <w:rsid w:val="00432509"/>
    <w:rsid w:val="00444A6E"/>
    <w:rsid w:val="00456DED"/>
    <w:rsid w:val="0049325A"/>
    <w:rsid w:val="004E1D75"/>
    <w:rsid w:val="004E3F2D"/>
    <w:rsid w:val="00503661"/>
    <w:rsid w:val="00574A22"/>
    <w:rsid w:val="00597EB3"/>
    <w:rsid w:val="005B2937"/>
    <w:rsid w:val="005E01F4"/>
    <w:rsid w:val="00636574"/>
    <w:rsid w:val="0066097E"/>
    <w:rsid w:val="00673BBA"/>
    <w:rsid w:val="0068464B"/>
    <w:rsid w:val="006A697F"/>
    <w:rsid w:val="00714F42"/>
    <w:rsid w:val="00781CCB"/>
    <w:rsid w:val="007B70C2"/>
    <w:rsid w:val="007D77C4"/>
    <w:rsid w:val="007E17C3"/>
    <w:rsid w:val="00851C2B"/>
    <w:rsid w:val="00904E30"/>
    <w:rsid w:val="009318A3"/>
    <w:rsid w:val="00940BBA"/>
    <w:rsid w:val="00953369"/>
    <w:rsid w:val="00965457"/>
    <w:rsid w:val="00971879"/>
    <w:rsid w:val="00982FDA"/>
    <w:rsid w:val="009B70CE"/>
    <w:rsid w:val="00A04DCD"/>
    <w:rsid w:val="00A47825"/>
    <w:rsid w:val="00AA2692"/>
    <w:rsid w:val="00AC4FEC"/>
    <w:rsid w:val="00B535FA"/>
    <w:rsid w:val="00B64684"/>
    <w:rsid w:val="00B74B67"/>
    <w:rsid w:val="00BA10C6"/>
    <w:rsid w:val="00BC3308"/>
    <w:rsid w:val="00C3613C"/>
    <w:rsid w:val="00C72F38"/>
    <w:rsid w:val="00CB7DF9"/>
    <w:rsid w:val="00CE6D37"/>
    <w:rsid w:val="00D04EFB"/>
    <w:rsid w:val="00DA3232"/>
    <w:rsid w:val="00E01D08"/>
    <w:rsid w:val="00EF4B20"/>
    <w:rsid w:val="00F17E1A"/>
    <w:rsid w:val="00F50C68"/>
    <w:rsid w:val="00FB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A6A8"/>
  <w15:chartTrackingRefBased/>
  <w15:docId w15:val="{321A098C-1C17-4DC0-B3F0-E89E0B05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1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1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1C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1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1C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1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1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1C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1C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1C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1C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1C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C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C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C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C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1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1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1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1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1C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1C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1C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C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C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1C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51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Brachotte</dc:creator>
  <cp:keywords>docId:EFA93527DEEA87AE596045124DE98AAE</cp:keywords>
  <dc:description/>
  <cp:lastModifiedBy>Sandrine Brachotte</cp:lastModifiedBy>
  <cp:revision>2</cp:revision>
  <dcterms:created xsi:type="dcterms:W3CDTF">2026-08-28T19:20:00Z</dcterms:created>
  <dcterms:modified xsi:type="dcterms:W3CDTF">2026-08-28T19:20:00Z</dcterms:modified>
</cp:coreProperties>
</file>