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CB787" w14:textId="3F68570A" w:rsidR="00C15750" w:rsidRPr="00981A42" w:rsidRDefault="00C15750" w:rsidP="0099238E">
      <w:pPr>
        <w:jc w:val="both"/>
        <w:rPr>
          <w:rStyle w:val="SubtleReference"/>
          <w:sz w:val="32"/>
          <w:szCs w:val="32"/>
          <w:lang w:val="fr-BE"/>
        </w:rPr>
      </w:pPr>
      <w:r w:rsidRPr="00C15750">
        <w:rPr>
          <w:rStyle w:val="SubtleReference"/>
          <w:sz w:val="32"/>
          <w:szCs w:val="32"/>
          <w:lang w:val="fr-BE"/>
        </w:rPr>
        <w:t xml:space="preserve">Séance </w:t>
      </w:r>
      <w:r w:rsidR="0099238E" w:rsidRPr="00981A42">
        <w:rPr>
          <w:rStyle w:val="SubtleReference"/>
          <w:sz w:val="32"/>
          <w:szCs w:val="32"/>
          <w:lang w:val="fr-BE"/>
        </w:rPr>
        <w:t>3</w:t>
      </w:r>
      <w:r w:rsidRPr="00C15750">
        <w:rPr>
          <w:rStyle w:val="SubtleReference"/>
          <w:sz w:val="32"/>
          <w:szCs w:val="32"/>
          <w:lang w:val="fr-BE"/>
        </w:rPr>
        <w:t xml:space="preserve"> – </w:t>
      </w:r>
      <w:r w:rsidR="0099238E" w:rsidRPr="0099238E">
        <w:rPr>
          <w:rStyle w:val="SubtleReference"/>
          <w:sz w:val="32"/>
          <w:szCs w:val="32"/>
          <w:lang w:val="fr-BE"/>
        </w:rPr>
        <w:t xml:space="preserve">Le droit comme un ordre neutre (Théorie juridique moderne) : </w:t>
      </w:r>
      <w:r w:rsidR="002D516B">
        <w:rPr>
          <w:rStyle w:val="SubtleReference"/>
          <w:sz w:val="32"/>
          <w:szCs w:val="32"/>
          <w:lang w:val="fr-BE"/>
        </w:rPr>
        <w:t xml:space="preserve">La notion de système juridique et les caractéristiques conventionnelles du droit </w:t>
      </w:r>
    </w:p>
    <w:p w14:paraId="7907D194" w14:textId="5A40D081" w:rsidR="0099238E" w:rsidRP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Rappel : Le Droit en tant qu’</w:t>
      </w:r>
      <w:r>
        <w:rPr>
          <w:rFonts w:ascii="Times New Roman" w:hAnsi="Times New Roman" w:cs="Times New Roman"/>
          <w:sz w:val="24"/>
          <w:szCs w:val="24"/>
          <w:lang w:val="fr-BE"/>
        </w:rPr>
        <w:t>o</w:t>
      </w:r>
      <w:r w:rsidRPr="0099238E">
        <w:rPr>
          <w:rFonts w:ascii="Times New Roman" w:hAnsi="Times New Roman" w:cs="Times New Roman"/>
          <w:sz w:val="24"/>
          <w:szCs w:val="24"/>
          <w:lang w:val="fr-BE"/>
        </w:rPr>
        <w:t xml:space="preserve">rdre </w:t>
      </w:r>
      <w:r>
        <w:rPr>
          <w:rFonts w:ascii="Times New Roman" w:hAnsi="Times New Roman" w:cs="Times New Roman"/>
          <w:sz w:val="24"/>
          <w:szCs w:val="24"/>
          <w:lang w:val="fr-BE"/>
        </w:rPr>
        <w:t>n</w:t>
      </w:r>
      <w:r w:rsidRPr="0099238E">
        <w:rPr>
          <w:rFonts w:ascii="Times New Roman" w:hAnsi="Times New Roman" w:cs="Times New Roman"/>
          <w:sz w:val="24"/>
          <w:szCs w:val="24"/>
          <w:lang w:val="fr-BE"/>
        </w:rPr>
        <w:t>eutre (« L’</w:t>
      </w:r>
      <w:r>
        <w:rPr>
          <w:rFonts w:ascii="Times New Roman" w:hAnsi="Times New Roman" w:cs="Times New Roman"/>
          <w:sz w:val="24"/>
          <w:szCs w:val="24"/>
          <w:lang w:val="fr-BE"/>
        </w:rPr>
        <w:t>o</w:t>
      </w:r>
      <w:r w:rsidRPr="0099238E">
        <w:rPr>
          <w:rFonts w:ascii="Times New Roman" w:hAnsi="Times New Roman" w:cs="Times New Roman"/>
          <w:sz w:val="24"/>
          <w:szCs w:val="24"/>
          <w:lang w:val="fr-BE"/>
        </w:rPr>
        <w:t>rdre</w:t>
      </w:r>
      <w:r w:rsidR="00981A42">
        <w:rPr>
          <w:rFonts w:ascii="Times New Roman" w:hAnsi="Times New Roman" w:cs="Times New Roman"/>
          <w:sz w:val="24"/>
          <w:szCs w:val="24"/>
          <w:lang w:val="fr-BE"/>
        </w:rPr>
        <w:t xml:space="preserve"> </w:t>
      </w:r>
      <w:r w:rsidRPr="0099238E">
        <w:rPr>
          <w:rFonts w:ascii="Times New Roman" w:hAnsi="Times New Roman" w:cs="Times New Roman"/>
          <w:sz w:val="24"/>
          <w:szCs w:val="24"/>
          <w:lang w:val="fr-BE"/>
        </w:rPr>
        <w:t>Juridique ») = théorisation conventionnelle du droit</w:t>
      </w:r>
    </w:p>
    <w:p w14:paraId="3C000131" w14:textId="0C085D6A" w:rsidR="0099238E" w:rsidRPr="0099238E" w:rsidRDefault="0099238E" w:rsidP="0099238E">
      <w:pPr>
        <w:numPr>
          <w:ilvl w:val="0"/>
          <w:numId w:val="1"/>
        </w:num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Inclut une hypothèse d'objectivité et de neutralité (ce qui rend le droit légitime) (</w:t>
      </w:r>
      <w:r w:rsidRPr="0099238E">
        <w:rPr>
          <w:rFonts w:ascii="Times New Roman" w:hAnsi="Times New Roman" w:cs="Times New Roman"/>
          <w:b/>
          <w:bCs/>
          <w:sz w:val="24"/>
          <w:szCs w:val="24"/>
          <w:lang w:val="fr-BE"/>
        </w:rPr>
        <w:t>S</w:t>
      </w:r>
      <w:r>
        <w:rPr>
          <w:rFonts w:ascii="Times New Roman" w:hAnsi="Times New Roman" w:cs="Times New Roman"/>
          <w:b/>
          <w:bCs/>
          <w:sz w:val="24"/>
          <w:szCs w:val="24"/>
          <w:lang w:val="fr-BE"/>
        </w:rPr>
        <w:t>éance</w:t>
      </w:r>
      <w:r w:rsidRPr="0099238E">
        <w:rPr>
          <w:rFonts w:ascii="Times New Roman" w:hAnsi="Times New Roman" w:cs="Times New Roman"/>
          <w:b/>
          <w:bCs/>
          <w:sz w:val="24"/>
          <w:szCs w:val="24"/>
          <w:lang w:val="fr-BE"/>
        </w:rPr>
        <w:t xml:space="preserve"> 2</w:t>
      </w:r>
      <w:r w:rsidRPr="0099238E">
        <w:rPr>
          <w:rFonts w:ascii="Times New Roman" w:hAnsi="Times New Roman" w:cs="Times New Roman"/>
          <w:sz w:val="24"/>
          <w:szCs w:val="24"/>
          <w:lang w:val="fr-BE"/>
        </w:rPr>
        <w:t>) + l'image d'un système clos, complet et hiérarchiquement ordonné (ce qui rend le droit efficace) (</w:t>
      </w:r>
      <w:r w:rsidRPr="0099238E">
        <w:rPr>
          <w:rFonts w:ascii="Times New Roman" w:hAnsi="Times New Roman" w:cs="Times New Roman"/>
          <w:b/>
          <w:bCs/>
          <w:sz w:val="24"/>
          <w:szCs w:val="24"/>
          <w:lang w:val="fr-BE"/>
        </w:rPr>
        <w:t>S</w:t>
      </w:r>
      <w:r>
        <w:rPr>
          <w:rFonts w:ascii="Times New Roman" w:hAnsi="Times New Roman" w:cs="Times New Roman"/>
          <w:b/>
          <w:bCs/>
          <w:sz w:val="24"/>
          <w:szCs w:val="24"/>
          <w:lang w:val="fr-BE"/>
        </w:rPr>
        <w:t>éance</w:t>
      </w:r>
      <w:r w:rsidRPr="0099238E">
        <w:rPr>
          <w:rFonts w:ascii="Times New Roman" w:hAnsi="Times New Roman" w:cs="Times New Roman"/>
          <w:b/>
          <w:bCs/>
          <w:sz w:val="24"/>
          <w:szCs w:val="24"/>
          <w:lang w:val="fr-BE"/>
        </w:rPr>
        <w:t xml:space="preserve"> 3</w:t>
      </w:r>
      <w:r w:rsidRPr="0099238E">
        <w:rPr>
          <w:rFonts w:ascii="Times New Roman" w:hAnsi="Times New Roman" w:cs="Times New Roman"/>
          <w:sz w:val="24"/>
          <w:szCs w:val="24"/>
          <w:lang w:val="fr-BE"/>
        </w:rPr>
        <w:t>) = deux faces d'une même médaille.</w:t>
      </w:r>
    </w:p>
    <w:p w14:paraId="673A9A54" w14:textId="4BEEDEA1" w:rsidR="0099238E" w:rsidRP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Session 3 : Les théories juridiques entourant le système (</w:t>
      </w:r>
      <w:r w:rsidRPr="0099238E">
        <w:rPr>
          <w:rFonts w:ascii="Times New Roman" w:hAnsi="Times New Roman" w:cs="Times New Roman"/>
          <w:b/>
          <w:bCs/>
          <w:sz w:val="24"/>
          <w:szCs w:val="24"/>
          <w:lang w:val="fr-BE"/>
        </w:rPr>
        <w:t>I</w:t>
      </w:r>
      <w:r w:rsidRPr="0099238E">
        <w:rPr>
          <w:rFonts w:ascii="Times New Roman" w:hAnsi="Times New Roman" w:cs="Times New Roman"/>
          <w:sz w:val="24"/>
          <w:szCs w:val="24"/>
          <w:lang w:val="fr-BE"/>
        </w:rPr>
        <w:t xml:space="preserve">) et les caractéristiques du droit qui y sont attachées </w:t>
      </w:r>
      <w:r w:rsidRPr="0099238E">
        <w:rPr>
          <w:rFonts w:ascii="Times New Roman" w:hAnsi="Times New Roman" w:cs="Times New Roman"/>
          <w:b/>
          <w:bCs/>
          <w:sz w:val="24"/>
          <w:szCs w:val="24"/>
          <w:lang w:val="fr-BE"/>
        </w:rPr>
        <w:t>(II</w:t>
      </w:r>
      <w:r w:rsidRPr="0099238E">
        <w:rPr>
          <w:rFonts w:ascii="Times New Roman" w:hAnsi="Times New Roman" w:cs="Times New Roman"/>
          <w:sz w:val="24"/>
          <w:szCs w:val="24"/>
          <w:lang w:val="fr-BE"/>
        </w:rPr>
        <w:t>).</w:t>
      </w:r>
    </w:p>
    <w:p w14:paraId="4E3F6713" w14:textId="377A0905" w:rsidR="0099238E" w:rsidRPr="0099238E" w:rsidRDefault="0099238E" w:rsidP="0099238E">
      <w:pPr>
        <w:jc w:val="both"/>
        <w:rPr>
          <w:rFonts w:ascii="Times New Roman" w:hAnsi="Times New Roman" w:cs="Times New Roman"/>
          <w:b/>
          <w:bCs/>
          <w:sz w:val="24"/>
          <w:szCs w:val="24"/>
          <w:lang w:val="fr-BE"/>
        </w:rPr>
      </w:pPr>
      <w:r w:rsidRPr="0099238E">
        <w:rPr>
          <w:rFonts w:ascii="Times New Roman" w:hAnsi="Times New Roman" w:cs="Times New Roman"/>
          <w:b/>
          <w:bCs/>
          <w:sz w:val="24"/>
          <w:szCs w:val="24"/>
          <w:lang w:val="fr-BE"/>
        </w:rPr>
        <w:t>I. L</w:t>
      </w:r>
      <w:r w:rsidR="00150393">
        <w:rPr>
          <w:rFonts w:ascii="Times New Roman" w:hAnsi="Times New Roman" w:cs="Times New Roman"/>
          <w:b/>
          <w:bCs/>
          <w:sz w:val="24"/>
          <w:szCs w:val="24"/>
          <w:lang w:val="fr-BE"/>
        </w:rPr>
        <w:t xml:space="preserve">a notion de </w:t>
      </w:r>
      <w:r w:rsidRPr="0099238E">
        <w:rPr>
          <w:rFonts w:ascii="Times New Roman" w:hAnsi="Times New Roman" w:cs="Times New Roman"/>
          <w:b/>
          <w:bCs/>
          <w:sz w:val="24"/>
          <w:szCs w:val="24"/>
          <w:lang w:val="fr-BE"/>
        </w:rPr>
        <w:t>Système Juridique</w:t>
      </w:r>
    </w:p>
    <w:p w14:paraId="71622695" w14:textId="05E8F1E3" w:rsidR="0099238E" w:rsidRPr="0099238E" w:rsidRDefault="00B901C3" w:rsidP="0099238E">
      <w:pPr>
        <w:jc w:val="both"/>
        <w:rPr>
          <w:rFonts w:ascii="Times New Roman" w:hAnsi="Times New Roman" w:cs="Times New Roman"/>
          <w:sz w:val="24"/>
          <w:szCs w:val="24"/>
          <w:lang w:val="fr-BE"/>
        </w:rPr>
      </w:pPr>
      <w:r>
        <w:rPr>
          <w:rFonts w:ascii="Times New Roman" w:hAnsi="Times New Roman" w:cs="Times New Roman"/>
          <w:sz w:val="24"/>
          <w:szCs w:val="24"/>
          <w:lang w:val="fr-BE"/>
        </w:rPr>
        <w:t>Les thé</w:t>
      </w:r>
      <w:r w:rsidR="00394921">
        <w:rPr>
          <w:rFonts w:ascii="Times New Roman" w:hAnsi="Times New Roman" w:cs="Times New Roman"/>
          <w:sz w:val="24"/>
          <w:szCs w:val="24"/>
          <w:lang w:val="fr-BE"/>
        </w:rPr>
        <w:t xml:space="preserve">ories </w:t>
      </w:r>
      <w:r w:rsidR="00C41388">
        <w:rPr>
          <w:rFonts w:ascii="Times New Roman" w:hAnsi="Times New Roman" w:cs="Times New Roman"/>
          <w:sz w:val="24"/>
          <w:szCs w:val="24"/>
          <w:lang w:val="fr-BE"/>
        </w:rPr>
        <w:t xml:space="preserve">sont nombreuses, voici des exemples : </w:t>
      </w:r>
    </w:p>
    <w:p w14:paraId="63C1549C" w14:textId="389EACE2" w:rsidR="0099238E" w:rsidRPr="0099238E" w:rsidRDefault="00C41388" w:rsidP="0099238E">
      <w:pPr>
        <w:numPr>
          <w:ilvl w:val="0"/>
          <w:numId w:val="2"/>
        </w:numPr>
        <w:jc w:val="both"/>
        <w:rPr>
          <w:rFonts w:ascii="Times New Roman" w:hAnsi="Times New Roman" w:cs="Times New Roman"/>
          <w:sz w:val="24"/>
          <w:szCs w:val="24"/>
          <w:u w:val="single"/>
          <w:lang w:val="fr-BE"/>
        </w:rPr>
      </w:pPr>
      <w:r>
        <w:rPr>
          <w:rFonts w:ascii="Times New Roman" w:hAnsi="Times New Roman" w:cs="Times New Roman"/>
          <w:sz w:val="24"/>
          <w:szCs w:val="24"/>
          <w:u w:val="single"/>
          <w:lang w:val="fr-BE"/>
        </w:rPr>
        <w:t>Du côté du droit naturel</w:t>
      </w:r>
      <w:r w:rsidR="005F04A6">
        <w:rPr>
          <w:rFonts w:ascii="Times New Roman" w:hAnsi="Times New Roman" w:cs="Times New Roman"/>
          <w:sz w:val="24"/>
          <w:szCs w:val="24"/>
          <w:u w:val="single"/>
          <w:lang w:val="fr-BE"/>
        </w:rPr>
        <w:t>, pas tout à fait ça</w:t>
      </w:r>
      <w:r>
        <w:rPr>
          <w:rFonts w:ascii="Times New Roman" w:hAnsi="Times New Roman" w:cs="Times New Roman"/>
          <w:sz w:val="24"/>
          <w:szCs w:val="24"/>
          <w:u w:val="single"/>
          <w:lang w:val="fr-BE"/>
        </w:rPr>
        <w:t xml:space="preserve">: Dworkin </w:t>
      </w:r>
      <w:r w:rsidR="002B192C">
        <w:rPr>
          <w:rFonts w:ascii="Times New Roman" w:hAnsi="Times New Roman" w:cs="Times New Roman"/>
          <w:sz w:val="24"/>
          <w:szCs w:val="24"/>
          <w:u w:val="single"/>
          <w:lang w:val="fr-BE"/>
        </w:rPr>
        <w:t>et</w:t>
      </w:r>
      <w:r>
        <w:rPr>
          <w:rFonts w:ascii="Times New Roman" w:hAnsi="Times New Roman" w:cs="Times New Roman"/>
          <w:sz w:val="24"/>
          <w:szCs w:val="24"/>
          <w:u w:val="single"/>
          <w:lang w:val="fr-BE"/>
        </w:rPr>
        <w:t xml:space="preserve"> le droit </w:t>
      </w:r>
      <w:r w:rsidR="00013392">
        <w:rPr>
          <w:rFonts w:ascii="Times New Roman" w:hAnsi="Times New Roman" w:cs="Times New Roman"/>
          <w:sz w:val="24"/>
          <w:szCs w:val="24"/>
          <w:u w:val="single"/>
          <w:lang w:val="fr-BE"/>
        </w:rPr>
        <w:t>comme intègre (2</w:t>
      </w:r>
      <w:r w:rsidR="00013392" w:rsidRPr="00013392">
        <w:rPr>
          <w:rFonts w:ascii="Times New Roman" w:hAnsi="Times New Roman" w:cs="Times New Roman"/>
          <w:sz w:val="24"/>
          <w:szCs w:val="24"/>
          <w:u w:val="single"/>
          <w:vertAlign w:val="superscript"/>
          <w:lang w:val="fr-BE"/>
        </w:rPr>
        <w:t>ème</w:t>
      </w:r>
      <w:r w:rsidR="00013392">
        <w:rPr>
          <w:rFonts w:ascii="Times New Roman" w:hAnsi="Times New Roman" w:cs="Times New Roman"/>
          <w:sz w:val="24"/>
          <w:szCs w:val="24"/>
          <w:u w:val="single"/>
          <w:lang w:val="fr-BE"/>
        </w:rPr>
        <w:t xml:space="preserve"> partie du 20</w:t>
      </w:r>
      <w:r w:rsidR="00013392" w:rsidRPr="00013392">
        <w:rPr>
          <w:rFonts w:ascii="Times New Roman" w:hAnsi="Times New Roman" w:cs="Times New Roman"/>
          <w:sz w:val="24"/>
          <w:szCs w:val="24"/>
          <w:u w:val="single"/>
          <w:vertAlign w:val="superscript"/>
          <w:lang w:val="fr-BE"/>
        </w:rPr>
        <w:t>ème</w:t>
      </w:r>
      <w:r w:rsidR="00013392">
        <w:rPr>
          <w:rFonts w:ascii="Times New Roman" w:hAnsi="Times New Roman" w:cs="Times New Roman"/>
          <w:sz w:val="24"/>
          <w:szCs w:val="24"/>
          <w:u w:val="single"/>
          <w:lang w:val="fr-BE"/>
        </w:rPr>
        <w:t xml:space="preserve"> siècle)</w:t>
      </w:r>
    </w:p>
    <w:p w14:paraId="24FA16BA" w14:textId="77777777" w:rsidR="00A51A54" w:rsidRPr="00A51A54" w:rsidRDefault="00A51A54" w:rsidP="00A51A54">
      <w:pPr>
        <w:pStyle w:val="NormalWeb"/>
        <w:rPr>
          <w:lang w:val="fr-FR"/>
        </w:rPr>
      </w:pPr>
      <w:r w:rsidRPr="00A51A54">
        <w:rPr>
          <w:lang w:val="fr-FR"/>
        </w:rPr>
        <w:t xml:space="preserve">R. Dworkin, </w:t>
      </w:r>
      <w:r w:rsidRPr="00A51A54">
        <w:rPr>
          <w:i/>
          <w:iCs/>
          <w:lang w:val="fr-FR"/>
        </w:rPr>
        <w:t>Law’s Empire</w:t>
      </w:r>
      <w:r w:rsidRPr="00A51A54">
        <w:rPr>
          <w:lang w:val="fr-FR"/>
        </w:rPr>
        <w:t>, 1986 :</w:t>
      </w:r>
    </w:p>
    <w:p w14:paraId="2946B4F0" w14:textId="77777777" w:rsidR="00A51A54" w:rsidRPr="00A51A54" w:rsidRDefault="00A51A54" w:rsidP="00A51A54">
      <w:pPr>
        <w:pStyle w:val="NormalWeb"/>
        <w:rPr>
          <w:lang w:val="fr-FR"/>
        </w:rPr>
      </w:pPr>
      <w:r w:rsidRPr="00A51A54">
        <w:rPr>
          <w:lang w:val="fr-FR"/>
        </w:rPr>
        <w:t xml:space="preserve">« </w:t>
      </w:r>
      <w:r w:rsidRPr="00A51A54">
        <w:rPr>
          <w:i/>
          <w:iCs/>
          <w:lang w:val="fr-FR"/>
        </w:rPr>
        <w:t>Les juges qui adhèrent à l’idéal d’intégrité en matière d’interprétation tranchent les affaires difficiles en s’efforçant de trouver, dans un ensemble cohérent de principes relatifs aux droits et aux devoirs des personnes, la meilleure interprétation constructive de la structure politique et de la doctrine juridique de leur communauté</w:t>
      </w:r>
      <w:r w:rsidRPr="00A51A54">
        <w:rPr>
          <w:lang w:val="fr-FR"/>
        </w:rPr>
        <w:t>. »</w:t>
      </w:r>
    </w:p>
    <w:p w14:paraId="18982D16" w14:textId="77777777" w:rsidR="00A51A54" w:rsidRPr="00A51A54" w:rsidRDefault="00A51A54" w:rsidP="00A51A54">
      <w:pPr>
        <w:pStyle w:val="NormalWeb"/>
        <w:rPr>
          <w:lang w:val="fr-FR"/>
        </w:rPr>
      </w:pPr>
      <w:r w:rsidRPr="00A51A54">
        <w:rPr>
          <w:lang w:val="fr-FR"/>
        </w:rPr>
        <w:t>Le droit est plus qu’un simple ensemble de règles à appliquer ; il repose également sur des « normes » qui se situent en dehors du système juridique :</w:t>
      </w:r>
    </w:p>
    <w:p w14:paraId="21066CED" w14:textId="77777777" w:rsidR="00A51A54" w:rsidRPr="00A51A54" w:rsidRDefault="00A51A54" w:rsidP="00A51A54">
      <w:pPr>
        <w:pStyle w:val="NormalWeb"/>
        <w:rPr>
          <w:lang w:val="fr-FR"/>
        </w:rPr>
      </w:pPr>
      <w:r w:rsidRPr="00A51A54">
        <w:rPr>
          <w:lang w:val="fr-FR"/>
        </w:rPr>
        <w:t>- des « principes » (principes moraux, traitement équitable de l’individu)</w:t>
      </w:r>
    </w:p>
    <w:p w14:paraId="0E8D81F7" w14:textId="5A346BD3" w:rsidR="00A51A54" w:rsidRPr="00A51A54" w:rsidRDefault="00A51A54" w:rsidP="00A51A54">
      <w:pPr>
        <w:pStyle w:val="NormalWeb"/>
        <w:rPr>
          <w:lang w:val="fr-FR"/>
        </w:rPr>
      </w:pPr>
      <w:r w:rsidRPr="00A51A54">
        <w:rPr>
          <w:lang w:val="fr-FR"/>
        </w:rPr>
        <w:t xml:space="preserve">- des « </w:t>
      </w:r>
      <w:r w:rsidR="00580E34">
        <w:rPr>
          <w:lang w:val="fr-FR"/>
        </w:rPr>
        <w:t>politiques</w:t>
      </w:r>
      <w:r w:rsidRPr="00A51A54">
        <w:rPr>
          <w:lang w:val="fr-FR"/>
        </w:rPr>
        <w:t xml:space="preserve"> » (objectifs économiques, sociaux ou politiques de la communauté)</w:t>
      </w:r>
    </w:p>
    <w:p w14:paraId="65BF873E" w14:textId="618E4F83" w:rsidR="00A51A54" w:rsidRPr="00A51A54" w:rsidRDefault="00A51A54" w:rsidP="00A51A54">
      <w:pPr>
        <w:pStyle w:val="NormalWeb"/>
        <w:rPr>
          <w:lang w:val="fr-FR"/>
        </w:rPr>
      </w:pPr>
      <w:r w:rsidRPr="00A51A54">
        <w:rPr>
          <w:lang w:val="fr-FR"/>
        </w:rPr>
        <w:t xml:space="preserve">Les « principes » et les « </w:t>
      </w:r>
      <w:r w:rsidR="00580E34">
        <w:rPr>
          <w:lang w:val="fr-FR"/>
        </w:rPr>
        <w:t>politiques</w:t>
      </w:r>
      <w:r w:rsidRPr="00A51A54">
        <w:rPr>
          <w:lang w:val="fr-FR"/>
        </w:rPr>
        <w:t xml:space="preserve"> » sont nécessaires pour trancher les affaires difficiles.</w:t>
      </w:r>
    </w:p>
    <w:p w14:paraId="7FB43D4C" w14:textId="77777777" w:rsidR="00A51A54" w:rsidRPr="00A51A54" w:rsidRDefault="00A51A54" w:rsidP="00A51A54">
      <w:pPr>
        <w:pStyle w:val="NormalWeb"/>
        <w:rPr>
          <w:lang w:val="fr-FR"/>
        </w:rPr>
      </w:pPr>
      <w:r w:rsidRPr="00A51A54">
        <w:rPr>
          <w:highlight w:val="yellow"/>
          <w:lang w:val="fr-FR"/>
        </w:rPr>
        <w:t>Avez-vous une affaire de ce type à l’esprit ?</w:t>
      </w:r>
    </w:p>
    <w:p w14:paraId="5D6F046F" w14:textId="5D38A59D" w:rsidR="0099238E" w:rsidRPr="00A51A54" w:rsidRDefault="00A51A54" w:rsidP="00A51A54">
      <w:pPr>
        <w:pStyle w:val="NormalWeb"/>
        <w:numPr>
          <w:ilvl w:val="0"/>
          <w:numId w:val="17"/>
        </w:numPr>
        <w:rPr>
          <w:lang w:val="fr-FR"/>
        </w:rPr>
      </w:pPr>
      <w:r w:rsidRPr="00A51A54">
        <w:rPr>
          <w:lang w:val="fr-FR"/>
        </w:rPr>
        <w:t>le droit (d</w:t>
      </w:r>
      <w:r w:rsidRPr="00A51A54">
        <w:rPr>
          <w:lang w:val="fr-FR"/>
        </w:rPr>
        <w:t>r</w:t>
      </w:r>
      <w:r w:rsidRPr="00A51A54">
        <w:rPr>
          <w:lang w:val="fr-FR"/>
        </w:rPr>
        <w:t>oit formel + « normes ») forme un tout cohérent</w:t>
      </w:r>
    </w:p>
    <w:p w14:paraId="046EEA04" w14:textId="3CC52403" w:rsidR="0099238E" w:rsidRDefault="00013392" w:rsidP="0099238E">
      <w:pPr>
        <w:numPr>
          <w:ilvl w:val="0"/>
          <w:numId w:val="2"/>
        </w:numPr>
        <w:jc w:val="both"/>
        <w:rPr>
          <w:rFonts w:ascii="Times New Roman" w:hAnsi="Times New Roman" w:cs="Times New Roman"/>
          <w:sz w:val="24"/>
          <w:szCs w:val="24"/>
          <w:lang w:val="fr-BE"/>
        </w:rPr>
      </w:pPr>
      <w:r>
        <w:rPr>
          <w:rFonts w:ascii="Times New Roman" w:hAnsi="Times New Roman" w:cs="Times New Roman"/>
          <w:sz w:val="24"/>
          <w:szCs w:val="24"/>
          <w:u w:val="single"/>
          <w:lang w:val="fr-BE"/>
        </w:rPr>
        <w:t>Du côté du positivisme</w:t>
      </w:r>
      <w:r w:rsidR="005F04A6">
        <w:rPr>
          <w:rFonts w:ascii="Times New Roman" w:hAnsi="Times New Roman" w:cs="Times New Roman"/>
          <w:sz w:val="24"/>
          <w:szCs w:val="24"/>
          <w:u w:val="single"/>
          <w:lang w:val="fr-BE"/>
        </w:rPr>
        <w:t>, tout à fait ça</w:t>
      </w:r>
      <w:r>
        <w:rPr>
          <w:rFonts w:ascii="Times New Roman" w:hAnsi="Times New Roman" w:cs="Times New Roman"/>
          <w:sz w:val="24"/>
          <w:szCs w:val="24"/>
          <w:u w:val="single"/>
          <w:lang w:val="fr-BE"/>
        </w:rPr>
        <w:t xml:space="preserve"> : </w:t>
      </w:r>
      <w:r w:rsidR="00172971">
        <w:rPr>
          <w:rFonts w:ascii="Times New Roman" w:hAnsi="Times New Roman" w:cs="Times New Roman"/>
          <w:sz w:val="24"/>
          <w:szCs w:val="24"/>
          <w:u w:val="single"/>
          <w:lang w:val="fr-BE"/>
        </w:rPr>
        <w:t>Hans Kelsen et la pyramide du droit</w:t>
      </w:r>
      <w:r w:rsidR="0099238E" w:rsidRPr="0099238E">
        <w:rPr>
          <w:rFonts w:ascii="Times New Roman" w:hAnsi="Times New Roman" w:cs="Times New Roman"/>
          <w:sz w:val="24"/>
          <w:szCs w:val="24"/>
          <w:u w:val="single"/>
          <w:lang w:val="fr-BE"/>
        </w:rPr>
        <w:t xml:space="preserve"> (</w:t>
      </w:r>
      <w:r w:rsidR="00172971">
        <w:rPr>
          <w:rFonts w:ascii="Times New Roman" w:hAnsi="Times New Roman" w:cs="Times New Roman"/>
          <w:sz w:val="24"/>
          <w:szCs w:val="24"/>
          <w:u w:val="single"/>
          <w:lang w:val="fr-BE"/>
        </w:rPr>
        <w:t>première moitié du 20</w:t>
      </w:r>
      <w:r w:rsidR="00172971" w:rsidRPr="00172971">
        <w:rPr>
          <w:rFonts w:ascii="Times New Roman" w:hAnsi="Times New Roman" w:cs="Times New Roman"/>
          <w:sz w:val="24"/>
          <w:szCs w:val="24"/>
          <w:u w:val="single"/>
          <w:vertAlign w:val="superscript"/>
          <w:lang w:val="fr-BE"/>
        </w:rPr>
        <w:t>ème</w:t>
      </w:r>
      <w:r w:rsidR="00172971">
        <w:rPr>
          <w:rFonts w:ascii="Times New Roman" w:hAnsi="Times New Roman" w:cs="Times New Roman"/>
          <w:sz w:val="24"/>
          <w:szCs w:val="24"/>
          <w:u w:val="single"/>
          <w:lang w:val="fr-BE"/>
        </w:rPr>
        <w:t xml:space="preserve"> siècle</w:t>
      </w:r>
      <w:r w:rsidR="0099238E" w:rsidRPr="0099238E">
        <w:rPr>
          <w:rFonts w:ascii="Times New Roman" w:hAnsi="Times New Roman" w:cs="Times New Roman"/>
          <w:sz w:val="24"/>
          <w:szCs w:val="24"/>
          <w:u w:val="single"/>
          <w:lang w:val="fr-BE"/>
        </w:rPr>
        <w:t>)</w:t>
      </w:r>
    </w:p>
    <w:p w14:paraId="251B383D" w14:textId="601C58C5" w:rsid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H. Kelsen, </w:t>
      </w:r>
      <w:r w:rsidRPr="0099238E">
        <w:rPr>
          <w:rFonts w:ascii="Times New Roman" w:hAnsi="Times New Roman" w:cs="Times New Roman"/>
          <w:i/>
          <w:iCs/>
          <w:sz w:val="24"/>
          <w:szCs w:val="24"/>
          <w:lang w:val="fr-BE"/>
        </w:rPr>
        <w:t>Reine Rechtslehre</w:t>
      </w:r>
      <w:r w:rsidRPr="0099238E">
        <w:rPr>
          <w:rFonts w:ascii="Times New Roman" w:hAnsi="Times New Roman" w:cs="Times New Roman"/>
          <w:sz w:val="24"/>
          <w:szCs w:val="24"/>
          <w:lang w:val="fr-BE"/>
        </w:rPr>
        <w:t xml:space="preserve"> (Une Théorie Pure du Droit), 1934</w:t>
      </w:r>
      <w:r>
        <w:rPr>
          <w:rFonts w:ascii="Times New Roman" w:hAnsi="Times New Roman" w:cs="Times New Roman"/>
          <w:sz w:val="24"/>
          <w:szCs w:val="24"/>
          <w:lang w:val="fr-BE"/>
        </w:rPr>
        <w:t>.</w:t>
      </w:r>
    </w:p>
    <w:p w14:paraId="79182355" w14:textId="603772E0" w:rsidR="0099238E" w:rsidRPr="0099238E" w:rsidRDefault="00112881" w:rsidP="0099238E">
      <w:pPr>
        <w:jc w:val="both"/>
        <w:rPr>
          <w:rFonts w:ascii="Times New Roman" w:hAnsi="Times New Roman" w:cs="Times New Roman"/>
          <w:sz w:val="24"/>
          <w:szCs w:val="24"/>
          <w:lang w:val="fr-BE"/>
        </w:rPr>
      </w:pPr>
      <w:r>
        <w:rPr>
          <w:rFonts w:ascii="Times New Roman" w:hAnsi="Times New Roman" w:cs="Times New Roman"/>
          <w:noProof/>
          <w:sz w:val="24"/>
          <w:szCs w:val="24"/>
          <w:lang w:val="fr-BE"/>
        </w:rPr>
        <w:lastRenderedPageBreak/>
        <w:drawing>
          <wp:inline distT="0" distB="0" distL="0" distR="0" wp14:anchorId="182611EF" wp14:editId="5BC0D735">
            <wp:extent cx="3330000" cy="3787200"/>
            <wp:effectExtent l="0" t="0" r="3810" b="3810"/>
            <wp:docPr id="4725392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30000" cy="3787200"/>
                    </a:xfrm>
                    <a:prstGeom prst="rect">
                      <a:avLst/>
                    </a:prstGeom>
                    <a:noFill/>
                  </pic:spPr>
                </pic:pic>
              </a:graphicData>
            </a:graphic>
          </wp:inline>
        </w:drawing>
      </w:r>
    </w:p>
    <w:p w14:paraId="237AC33A" w14:textId="1D74895B" w:rsid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Commentaires du graphique :</w:t>
      </w:r>
    </w:p>
    <w:p w14:paraId="4668C70C" w14:textId="5782F07E" w:rsidR="00785F93" w:rsidRPr="00785F93" w:rsidRDefault="00785F93" w:rsidP="00785F93">
      <w:pPr>
        <w:jc w:val="both"/>
        <w:rPr>
          <w:rFonts w:ascii="Times New Roman" w:hAnsi="Times New Roman" w:cs="Times New Roman"/>
          <w:sz w:val="24"/>
          <w:szCs w:val="24"/>
          <w:highlight w:val="yellow"/>
          <w:lang w:val="fr-BE"/>
        </w:rPr>
      </w:pPr>
      <w:r>
        <w:rPr>
          <w:rFonts w:ascii="Times New Roman" w:hAnsi="Times New Roman" w:cs="Times New Roman"/>
          <w:sz w:val="24"/>
          <w:szCs w:val="24"/>
          <w:lang w:val="fr-BE"/>
        </w:rPr>
        <w:t xml:space="preserve">a) </w:t>
      </w:r>
      <w:r w:rsidR="0099238E" w:rsidRPr="00785F93">
        <w:rPr>
          <w:rFonts w:ascii="Times New Roman" w:hAnsi="Times New Roman" w:cs="Times New Roman"/>
          <w:sz w:val="24"/>
          <w:szCs w:val="24"/>
          <w:lang w:val="fr-BE"/>
        </w:rPr>
        <w:t xml:space="preserve">La validité de l'ensemble du système provient d'une seule source, qui est considérée comme préexistante aux autorités étatiques = La </w:t>
      </w:r>
      <w:r w:rsidR="0099238E" w:rsidRPr="00785F93">
        <w:rPr>
          <w:rFonts w:ascii="Times New Roman" w:hAnsi="Times New Roman" w:cs="Times New Roman"/>
          <w:b/>
          <w:bCs/>
          <w:sz w:val="24"/>
          <w:szCs w:val="24"/>
          <w:lang w:val="fr-BE"/>
        </w:rPr>
        <w:t>Grundnorm</w:t>
      </w:r>
      <w:r w:rsidR="0099238E" w:rsidRPr="00785F93">
        <w:rPr>
          <w:rFonts w:ascii="Times New Roman" w:hAnsi="Times New Roman" w:cs="Times New Roman"/>
          <w:sz w:val="24"/>
          <w:szCs w:val="24"/>
          <w:lang w:val="fr-BE"/>
        </w:rPr>
        <w:t xml:space="preserve"> (la question reste : d'où vient-elle ?). </w:t>
      </w:r>
      <w:r w:rsidR="0099238E" w:rsidRPr="00785F93">
        <w:rPr>
          <w:rFonts w:ascii="Times New Roman" w:hAnsi="Times New Roman" w:cs="Times New Roman"/>
          <w:sz w:val="24"/>
          <w:szCs w:val="24"/>
          <w:highlight w:val="yellow"/>
          <w:lang w:val="fr-BE"/>
        </w:rPr>
        <w:t>Ce niveau fait-il encore partie des pyramides du droit aujourd'hui ? Qu'en est-il de la Belgique ?</w:t>
      </w:r>
    </w:p>
    <w:p w14:paraId="20494E5C" w14:textId="16FBA826" w:rsidR="0099238E" w:rsidRPr="00785F93" w:rsidRDefault="0099238E" w:rsidP="00785F93">
      <w:pPr>
        <w:pStyle w:val="ListParagraph"/>
        <w:jc w:val="both"/>
        <w:rPr>
          <w:rFonts w:ascii="Times New Roman" w:hAnsi="Times New Roman" w:cs="Times New Roman"/>
          <w:sz w:val="24"/>
          <w:szCs w:val="24"/>
          <w:lang w:val="fr-BE"/>
        </w:rPr>
      </w:pPr>
      <w:r w:rsidRPr="00785F93">
        <w:rPr>
          <w:rFonts w:ascii="Times New Roman" w:hAnsi="Times New Roman" w:cs="Times New Roman"/>
          <w:sz w:val="24"/>
          <w:szCs w:val="24"/>
          <w:lang w:val="fr-BE"/>
        </w:rPr>
        <w:t>→ Une perspective externe et sociologique : La théorie autopoïétique du droit (Luhmann, Teubner)</w:t>
      </w:r>
    </w:p>
    <w:p w14:paraId="374FDCDD" w14:textId="77777777" w:rsidR="0099238E" w:rsidRP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La création autonome du droit (poiet = faire et auto = soi-même).</w:t>
      </w:r>
    </w:p>
    <w:p w14:paraId="0DD8E208" w14:textId="77777777" w:rsidR="0099238E" w:rsidRP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Ex. Le manque d'efficacité ne peut pas entraîner l'abrogation implicite (= pas de « abrogation par désuétude ») ; une loi ne cessera pas d'exister parce qu'elle n'est pas appliquée. Seule une autre loi, et non la pratique du droit, peut conduire à la suppression d'une loi du système juridique.</w:t>
      </w:r>
    </w:p>
    <w:p w14:paraId="37A9EA8C" w14:textId="77777777" w:rsidR="0099238E" w:rsidRP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=&gt; Critique :</w:t>
      </w:r>
    </w:p>
    <w:p w14:paraId="2B11F4D1" w14:textId="7BF2FBEB" w:rsidR="00785F93"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Ex. Le système juridique est fermé mais pas indépendant : il a besoin de l'économie, de la politique, de la médecine, etc., pour fonctionner.</w:t>
      </w:r>
    </w:p>
    <w:p w14:paraId="0C97DE7F" w14:textId="526FEE33" w:rsidR="0099238E" w:rsidRDefault="0099238E" w:rsidP="0099238E">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c) Kelsen a un système d'État national en tête mais aujourd'hui, cela a été appliqué au droit régional et international. </w:t>
      </w:r>
      <w:r w:rsidRPr="0099238E">
        <w:rPr>
          <w:rFonts w:ascii="Times New Roman" w:hAnsi="Times New Roman" w:cs="Times New Roman"/>
          <w:sz w:val="24"/>
          <w:szCs w:val="24"/>
          <w:highlight w:val="yellow"/>
          <w:lang w:val="fr-BE"/>
        </w:rPr>
        <w:t>Quels sont ces pyramides ?</w:t>
      </w:r>
    </w:p>
    <w:p w14:paraId="6F99896F" w14:textId="2458081A" w:rsidR="00112881" w:rsidRPr="0099238E" w:rsidRDefault="00112881" w:rsidP="0099238E">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=&gt; Comparer le </w:t>
      </w:r>
      <w:r w:rsidRPr="00112881">
        <w:rPr>
          <w:rFonts w:ascii="Times New Roman" w:hAnsi="Times New Roman" w:cs="Times New Roman"/>
          <w:b/>
          <w:bCs/>
          <w:sz w:val="24"/>
          <w:szCs w:val="24"/>
          <w:lang w:val="fr-BE"/>
        </w:rPr>
        <w:t>dualisme juridique</w:t>
      </w:r>
      <w:r>
        <w:rPr>
          <w:rFonts w:ascii="Times New Roman" w:hAnsi="Times New Roman" w:cs="Times New Roman"/>
          <w:sz w:val="24"/>
          <w:szCs w:val="24"/>
          <w:lang w:val="fr-BE"/>
        </w:rPr>
        <w:t xml:space="preserve"> de Kelsen au </w:t>
      </w:r>
      <w:r w:rsidRPr="00112881">
        <w:rPr>
          <w:rFonts w:ascii="Times New Roman" w:hAnsi="Times New Roman" w:cs="Times New Roman"/>
          <w:b/>
          <w:bCs/>
          <w:sz w:val="24"/>
          <w:szCs w:val="24"/>
          <w:lang w:val="fr-BE"/>
        </w:rPr>
        <w:t>monisme juridique</w:t>
      </w:r>
      <w:r>
        <w:rPr>
          <w:rFonts w:ascii="Times New Roman" w:hAnsi="Times New Roman" w:cs="Times New Roman"/>
          <w:sz w:val="24"/>
          <w:szCs w:val="24"/>
          <w:lang w:val="fr-BE"/>
        </w:rPr>
        <w:t xml:space="preserve"> de notre droit contemporain</w:t>
      </w:r>
    </w:p>
    <w:p w14:paraId="1F23586A" w14:textId="7B0FF9B9" w:rsidR="00785F93" w:rsidRPr="00785F93" w:rsidRDefault="00A01CBA" w:rsidP="00A01CBA">
      <w:pPr>
        <w:jc w:val="both"/>
        <w:rPr>
          <w:rFonts w:ascii="Times New Roman" w:hAnsi="Times New Roman" w:cs="Times New Roman"/>
          <w:sz w:val="24"/>
          <w:szCs w:val="24"/>
          <w:u w:val="single"/>
          <w:lang w:val="fr-BE"/>
        </w:rPr>
      </w:pPr>
      <w:r>
        <w:rPr>
          <w:rFonts w:ascii="Times New Roman" w:hAnsi="Times New Roman" w:cs="Times New Roman"/>
          <w:sz w:val="24"/>
          <w:szCs w:val="24"/>
          <w:u w:val="single"/>
          <w:lang w:val="fr-BE"/>
        </w:rPr>
        <w:t xml:space="preserve">NB : </w:t>
      </w:r>
      <w:r w:rsidR="0099238E" w:rsidRPr="0099238E">
        <w:rPr>
          <w:rFonts w:ascii="Times New Roman" w:hAnsi="Times New Roman" w:cs="Times New Roman"/>
          <w:sz w:val="24"/>
          <w:szCs w:val="24"/>
          <w:u w:val="single"/>
          <w:lang w:val="fr-BE"/>
        </w:rPr>
        <w:t>Aller au-delà de la pyramide du droit pour garantir la certitude juridique : Justice informatisée et utilisation d'algorithmes et d'IA dans les décisions administratives (21e siècle)</w:t>
      </w:r>
    </w:p>
    <w:p w14:paraId="2D993399" w14:textId="7F2562D4" w:rsidR="00785F93" w:rsidRDefault="0099238E" w:rsidP="00785F93">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Comment rendre </w:t>
      </w:r>
      <w:r w:rsidR="005A70A8">
        <w:rPr>
          <w:rFonts w:ascii="Times New Roman" w:hAnsi="Times New Roman" w:cs="Times New Roman"/>
          <w:sz w:val="24"/>
          <w:szCs w:val="24"/>
          <w:lang w:val="fr-BE"/>
        </w:rPr>
        <w:t>les</w:t>
      </w:r>
      <w:r w:rsidRPr="0099238E">
        <w:rPr>
          <w:rFonts w:ascii="Times New Roman" w:hAnsi="Times New Roman" w:cs="Times New Roman"/>
          <w:sz w:val="24"/>
          <w:szCs w:val="24"/>
          <w:lang w:val="fr-BE"/>
        </w:rPr>
        <w:t xml:space="preserve"> décisions </w:t>
      </w:r>
      <w:r w:rsidR="005A70A8">
        <w:rPr>
          <w:rFonts w:ascii="Times New Roman" w:hAnsi="Times New Roman" w:cs="Times New Roman"/>
          <w:sz w:val="24"/>
          <w:szCs w:val="24"/>
          <w:lang w:val="fr-BE"/>
        </w:rPr>
        <w:t xml:space="preserve">individuelles </w:t>
      </w:r>
      <w:r w:rsidRPr="0099238E">
        <w:rPr>
          <w:rFonts w:ascii="Times New Roman" w:hAnsi="Times New Roman" w:cs="Times New Roman"/>
          <w:sz w:val="24"/>
          <w:szCs w:val="24"/>
          <w:lang w:val="fr-BE"/>
        </w:rPr>
        <w:t>plus scientifiques ?</w:t>
      </w:r>
    </w:p>
    <w:p w14:paraId="14518B7C" w14:textId="77777777" w:rsidR="00785F93" w:rsidRDefault="0099238E" w:rsidP="00785F93">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lastRenderedPageBreak/>
        <w:t>Avoir une méthode qui rend les décisions juridiques prévisibles</w:t>
      </w:r>
    </w:p>
    <w:p w14:paraId="1FA8A505" w14:textId="28384F05" w:rsidR="00785F93" w:rsidRDefault="0099238E" w:rsidP="00B165E4">
      <w:pPr>
        <w:spacing w:after="0"/>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MAIS… Questions éthiques : utilisation des données personnelles, reproduction des inégalités.</w:t>
      </w:r>
    </w:p>
    <w:p w14:paraId="0B867882" w14:textId="77777777" w:rsidR="00B165E4" w:rsidRDefault="00B165E4" w:rsidP="00B165E4">
      <w:pPr>
        <w:spacing w:after="0"/>
        <w:jc w:val="both"/>
        <w:rPr>
          <w:rFonts w:ascii="Times New Roman" w:hAnsi="Times New Roman" w:cs="Times New Roman"/>
          <w:sz w:val="24"/>
          <w:szCs w:val="24"/>
          <w:lang w:val="fr-BE"/>
        </w:rPr>
      </w:pPr>
    </w:p>
    <w:p w14:paraId="393F5540" w14:textId="5CBA4C47" w:rsidR="0099238E" w:rsidRPr="0099238E" w:rsidRDefault="0099238E" w:rsidP="00785F93">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Ex. </w:t>
      </w:r>
      <w:r w:rsidR="00785F93">
        <w:rPr>
          <w:rFonts w:ascii="Times New Roman" w:hAnsi="Times New Roman" w:cs="Times New Roman"/>
          <w:sz w:val="24"/>
          <w:szCs w:val="24"/>
          <w:lang w:val="fr-BE"/>
        </w:rPr>
        <w:t>Public Safety Assessment</w:t>
      </w:r>
      <w:r w:rsidRPr="0099238E">
        <w:rPr>
          <w:rFonts w:ascii="Times New Roman" w:hAnsi="Times New Roman" w:cs="Times New Roman"/>
          <w:sz w:val="24"/>
          <w:szCs w:val="24"/>
          <w:lang w:val="fr-BE"/>
        </w:rPr>
        <w:t xml:space="preserve"> (PSA) aux États-Unis, encore mise en œuvre dans plusieurs États américains :</w:t>
      </w:r>
    </w:p>
    <w:p w14:paraId="4DB64B0C" w14:textId="4708CA8E" w:rsidR="0099238E" w:rsidRPr="0099238E" w:rsidRDefault="0099238E" w:rsidP="0099238E">
      <w:pPr>
        <w:numPr>
          <w:ilvl w:val="0"/>
          <w:numId w:val="4"/>
        </w:num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utilisée par les juges lorsqu'ils doivent décider de la détention préventive pour protéger la société</w:t>
      </w:r>
      <w:r w:rsidR="00785F93">
        <w:rPr>
          <w:rFonts w:ascii="Times New Roman" w:hAnsi="Times New Roman" w:cs="Times New Roman"/>
          <w:sz w:val="24"/>
          <w:szCs w:val="24"/>
          <w:lang w:val="fr-BE"/>
        </w:rPr>
        <w:t>;</w:t>
      </w:r>
    </w:p>
    <w:p w14:paraId="6569DA2F" w14:textId="442B2A76" w:rsidR="0099238E" w:rsidRPr="0099238E" w:rsidRDefault="0099238E" w:rsidP="0099238E">
      <w:pPr>
        <w:numPr>
          <w:ilvl w:val="0"/>
          <w:numId w:val="4"/>
        </w:num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base de données de plus de 1,5 million de cas tirés de plus de 300 juridictions américaines</w:t>
      </w:r>
      <w:r w:rsidR="00785F93">
        <w:rPr>
          <w:rFonts w:ascii="Times New Roman" w:hAnsi="Times New Roman" w:cs="Times New Roman"/>
          <w:sz w:val="24"/>
          <w:szCs w:val="24"/>
          <w:lang w:val="fr-BE"/>
        </w:rPr>
        <w:t> ;</w:t>
      </w:r>
    </w:p>
    <w:p w14:paraId="28E41A36" w14:textId="02A38A03" w:rsidR="0099238E" w:rsidRPr="0099238E" w:rsidRDefault="0099238E" w:rsidP="0099238E">
      <w:pPr>
        <w:numPr>
          <w:ilvl w:val="0"/>
          <w:numId w:val="4"/>
        </w:num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identification des facteurs </w:t>
      </w:r>
      <w:r w:rsidR="00785F93">
        <w:rPr>
          <w:rFonts w:ascii="Times New Roman" w:hAnsi="Times New Roman" w:cs="Times New Roman"/>
          <w:sz w:val="24"/>
          <w:szCs w:val="24"/>
          <w:lang w:val="fr-BE"/>
        </w:rPr>
        <w:t>permettant</w:t>
      </w:r>
      <w:r w:rsidRPr="0099238E">
        <w:rPr>
          <w:rFonts w:ascii="Times New Roman" w:hAnsi="Times New Roman" w:cs="Times New Roman"/>
          <w:sz w:val="24"/>
          <w:szCs w:val="24"/>
          <w:lang w:val="fr-BE"/>
        </w:rPr>
        <w:t xml:space="preserve"> </w:t>
      </w:r>
      <w:r w:rsidR="00785F93">
        <w:rPr>
          <w:rFonts w:ascii="Times New Roman" w:hAnsi="Times New Roman" w:cs="Times New Roman"/>
          <w:sz w:val="24"/>
          <w:szCs w:val="24"/>
          <w:lang w:val="fr-BE"/>
        </w:rPr>
        <w:t>d’évaluer</w:t>
      </w:r>
      <w:r w:rsidRPr="0099238E">
        <w:rPr>
          <w:rFonts w:ascii="Times New Roman" w:hAnsi="Times New Roman" w:cs="Times New Roman"/>
          <w:sz w:val="24"/>
          <w:szCs w:val="24"/>
          <w:lang w:val="fr-BE"/>
        </w:rPr>
        <w:t xml:space="preserve"> si un accusé commettra un nouveau crime, commettra un nouveau crime violent, ou ne reviendra pas au tribunal (</w:t>
      </w:r>
      <w:r w:rsidR="00785F93">
        <w:rPr>
          <w:rFonts w:ascii="Times New Roman" w:hAnsi="Times New Roman" w:cs="Times New Roman"/>
          <w:sz w:val="24"/>
          <w:szCs w:val="24"/>
          <w:lang w:val="fr-BE"/>
        </w:rPr>
        <w:t>par ex :</w:t>
      </w:r>
      <w:r w:rsidRPr="0099238E">
        <w:rPr>
          <w:rFonts w:ascii="Times New Roman" w:hAnsi="Times New Roman" w:cs="Times New Roman"/>
          <w:sz w:val="24"/>
          <w:szCs w:val="24"/>
          <w:lang w:val="fr-BE"/>
        </w:rPr>
        <w:t xml:space="preserve"> si l'infraction actuelle est violente ; si la personne a une accusation en cours au moment de l'arrestation ; si la personne a une condamnation pour délit antérieure ; si la personne a une condamnation pour crime antérieure ; si la personne a une condamnation antérieure pour un crime violent ; l'âge de la personne au moment de l'arrestation ; si la personne a omis de se présenter à une audience préliminaire au cours des deux dernières années ; si la personne a omis de se présenter à une audience préliminaire il y a plus de deux ans ; et si la personne a déjà été condamnée à une incarcération...</w:t>
      </w:r>
      <w:r w:rsidR="00785F93">
        <w:rPr>
          <w:rFonts w:ascii="Times New Roman" w:hAnsi="Times New Roman" w:cs="Times New Roman"/>
          <w:sz w:val="24"/>
          <w:szCs w:val="24"/>
          <w:lang w:val="fr-BE"/>
        </w:rPr>
        <w:t>).</w:t>
      </w:r>
      <w:r w:rsidRPr="0099238E">
        <w:rPr>
          <w:rFonts w:ascii="Times New Roman" w:hAnsi="Times New Roman" w:cs="Times New Roman"/>
          <w:sz w:val="24"/>
          <w:szCs w:val="24"/>
          <w:lang w:val="fr-BE"/>
        </w:rPr>
        <w:t xml:space="preserve"> Le PSA ne prend pas en compte des facteurs qui pourraient être discriminatoires tels que la race, le genre, le niveau d'éducation, le statut socio-économique et le quartier ;</w:t>
      </w:r>
    </w:p>
    <w:p w14:paraId="51CE5AFD" w14:textId="77777777" w:rsidR="0099238E" w:rsidRPr="0099238E" w:rsidRDefault="0099238E" w:rsidP="0099238E">
      <w:pPr>
        <w:numPr>
          <w:ilvl w:val="0"/>
          <w:numId w:val="4"/>
        </w:num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juste pour aider les juges mais il doit vraiment être difficile de décider de ne pas suivre la recommandation de l'ordinateur. Même si ces prévisions ne sont pas contraignantes, elles peuvent devenir de facto contrôlantes.</w:t>
      </w:r>
    </w:p>
    <w:p w14:paraId="405A1CF0" w14:textId="0B358174" w:rsidR="00785F93" w:rsidRPr="00785F93" w:rsidRDefault="0099238E" w:rsidP="0099238E">
      <w:pPr>
        <w:jc w:val="both"/>
        <w:rPr>
          <w:rFonts w:ascii="Times New Roman" w:hAnsi="Times New Roman" w:cs="Times New Roman"/>
          <w:b/>
          <w:bCs/>
          <w:sz w:val="24"/>
          <w:szCs w:val="24"/>
          <w:lang w:val="fr-BE"/>
        </w:rPr>
      </w:pPr>
      <w:r w:rsidRPr="0099238E">
        <w:rPr>
          <w:rFonts w:ascii="Times New Roman" w:hAnsi="Times New Roman" w:cs="Times New Roman"/>
          <w:b/>
          <w:bCs/>
          <w:sz w:val="24"/>
          <w:szCs w:val="24"/>
          <w:lang w:val="fr-BE"/>
        </w:rPr>
        <w:t>II. Les Caractéristiques du Système</w:t>
      </w:r>
      <w:r w:rsidR="001E3D10">
        <w:rPr>
          <w:rFonts w:ascii="Times New Roman" w:hAnsi="Times New Roman" w:cs="Times New Roman"/>
          <w:b/>
          <w:bCs/>
          <w:sz w:val="24"/>
          <w:szCs w:val="24"/>
          <w:lang w:val="fr-BE"/>
        </w:rPr>
        <w:t xml:space="preserve"> et des Règles de droit </w:t>
      </w:r>
    </w:p>
    <w:p w14:paraId="74857FC9" w14:textId="597127E9" w:rsidR="0099238E" w:rsidRDefault="005A70A8" w:rsidP="005A70A8">
      <w:pPr>
        <w:pStyle w:val="ListParagraph"/>
        <w:numPr>
          <w:ilvl w:val="0"/>
          <w:numId w:val="16"/>
        </w:numPr>
        <w:jc w:val="both"/>
        <w:rPr>
          <w:rFonts w:ascii="Times New Roman" w:hAnsi="Times New Roman" w:cs="Times New Roman"/>
          <w:sz w:val="24"/>
          <w:szCs w:val="24"/>
          <w:lang w:val="fr-BE"/>
        </w:rPr>
      </w:pPr>
      <w:r>
        <w:rPr>
          <w:rFonts w:ascii="Times New Roman" w:hAnsi="Times New Roman" w:cs="Times New Roman"/>
          <w:sz w:val="24"/>
          <w:szCs w:val="24"/>
          <w:lang w:val="fr-BE"/>
        </w:rPr>
        <w:t>Les exigences de Lon Fuller :</w:t>
      </w:r>
    </w:p>
    <w:p w14:paraId="7FFDD10B" w14:textId="77777777" w:rsidR="005A70A8" w:rsidRDefault="005A70A8" w:rsidP="005A70A8">
      <w:pPr>
        <w:pStyle w:val="ListParagraph"/>
        <w:jc w:val="both"/>
        <w:rPr>
          <w:rFonts w:ascii="Times New Roman" w:hAnsi="Times New Roman" w:cs="Times New Roman"/>
          <w:sz w:val="24"/>
          <w:szCs w:val="24"/>
          <w:lang w:val="fr-BE"/>
        </w:rPr>
      </w:pPr>
    </w:p>
    <w:p w14:paraId="6ED723B8" w14:textId="4E824360" w:rsidR="005A70A8" w:rsidRDefault="005A70A8" w:rsidP="005A70A8">
      <w:pPr>
        <w:pStyle w:val="ListParagraph"/>
        <w:jc w:val="both"/>
        <w:rPr>
          <w:rFonts w:ascii="Times New Roman" w:hAnsi="Times New Roman" w:cs="Times New Roman"/>
          <w:sz w:val="24"/>
          <w:szCs w:val="24"/>
          <w:lang w:val="fr-BE"/>
        </w:rPr>
      </w:pPr>
      <w:r w:rsidRPr="005A70A8">
        <w:rPr>
          <w:rFonts w:ascii="Times New Roman" w:hAnsi="Times New Roman" w:cs="Times New Roman"/>
          <w:sz w:val="24"/>
          <w:szCs w:val="24"/>
          <w:lang w:val="fr-BE"/>
        </w:rPr>
        <w:t>Généralité – Publicité (accessibilité) – Non-rétroactivité (prévisibilité) – Clarté (précision) – Cohérence (entre les règles) – Réalisme – Constance – Congruence (entre les règles annoncées et leur administration réelle)</w:t>
      </w:r>
    </w:p>
    <w:p w14:paraId="71959E4D" w14:textId="77777777" w:rsidR="005A70A8" w:rsidRDefault="005A70A8" w:rsidP="005A70A8">
      <w:pPr>
        <w:pStyle w:val="ListParagraph"/>
        <w:jc w:val="both"/>
        <w:rPr>
          <w:rFonts w:ascii="Times New Roman" w:hAnsi="Times New Roman" w:cs="Times New Roman"/>
          <w:sz w:val="24"/>
          <w:szCs w:val="24"/>
          <w:lang w:val="fr-BE"/>
        </w:rPr>
      </w:pPr>
    </w:p>
    <w:p w14:paraId="19153416" w14:textId="38D6361A" w:rsidR="005A70A8" w:rsidRDefault="005A70A8" w:rsidP="005A70A8">
      <w:pPr>
        <w:pStyle w:val="ListParagraph"/>
        <w:jc w:val="both"/>
        <w:rPr>
          <w:rFonts w:ascii="Times New Roman" w:hAnsi="Times New Roman" w:cs="Times New Roman"/>
          <w:sz w:val="24"/>
          <w:szCs w:val="24"/>
          <w:lang w:val="fr-BE"/>
        </w:rPr>
      </w:pPr>
      <w:r>
        <w:rPr>
          <w:rFonts w:ascii="Times New Roman" w:hAnsi="Times New Roman" w:cs="Times New Roman"/>
          <w:sz w:val="24"/>
          <w:szCs w:val="24"/>
          <w:lang w:val="fr-BE"/>
        </w:rPr>
        <w:t>+ exhaustivité</w:t>
      </w:r>
    </w:p>
    <w:p w14:paraId="79B1F07D" w14:textId="40181723" w:rsidR="00B66F7C" w:rsidRPr="00B66F7C" w:rsidRDefault="00B66F7C" w:rsidP="00B66F7C">
      <w:pPr>
        <w:jc w:val="both"/>
        <w:rPr>
          <w:rFonts w:ascii="Times New Roman" w:hAnsi="Times New Roman" w:cs="Times New Roman"/>
          <w:sz w:val="24"/>
          <w:szCs w:val="24"/>
          <w:lang w:val="fr-BE"/>
        </w:rPr>
      </w:pPr>
      <w:r w:rsidRPr="006D213E">
        <w:rPr>
          <w:rFonts w:ascii="Times New Roman" w:hAnsi="Times New Roman" w:cs="Times New Roman"/>
          <w:sz w:val="24"/>
          <w:szCs w:val="24"/>
          <w:highlight w:val="yellow"/>
          <w:lang w:val="fr-BE"/>
        </w:rPr>
        <w:t>Quelles caractéristiques concernent le système et quelles caractéristiques concernent le système</w:t>
      </w:r>
      <w:r w:rsidR="006D213E" w:rsidRPr="006D213E">
        <w:rPr>
          <w:rFonts w:ascii="Times New Roman" w:hAnsi="Times New Roman" w:cs="Times New Roman"/>
          <w:sz w:val="24"/>
          <w:szCs w:val="24"/>
          <w:highlight w:val="yellow"/>
          <w:lang w:val="fr-BE"/>
        </w:rPr>
        <w:t> ?</w:t>
      </w:r>
      <w:r w:rsidR="006D213E">
        <w:rPr>
          <w:rFonts w:ascii="Times New Roman" w:hAnsi="Times New Roman" w:cs="Times New Roman"/>
          <w:sz w:val="24"/>
          <w:szCs w:val="24"/>
          <w:lang w:val="fr-BE"/>
        </w:rPr>
        <w:t xml:space="preserve"> </w:t>
      </w:r>
    </w:p>
    <w:p w14:paraId="7AF79DD0" w14:textId="57D8B9D7" w:rsidR="005A70A8" w:rsidRPr="005A70A8" w:rsidRDefault="005A70A8" w:rsidP="005A70A8">
      <w:pPr>
        <w:jc w:val="both"/>
        <w:rPr>
          <w:rFonts w:ascii="Times New Roman" w:hAnsi="Times New Roman" w:cs="Times New Roman"/>
          <w:sz w:val="24"/>
          <w:szCs w:val="24"/>
          <w:lang w:val="fr-BE"/>
        </w:rPr>
      </w:pPr>
      <w:r>
        <w:rPr>
          <w:rFonts w:ascii="Times New Roman" w:hAnsi="Times New Roman" w:cs="Times New Roman"/>
          <w:sz w:val="24"/>
          <w:szCs w:val="24"/>
          <w:lang w:val="fr-BE"/>
        </w:rPr>
        <w:t>Explorons davantage quelques caractéristiques :</w:t>
      </w:r>
    </w:p>
    <w:p w14:paraId="1BDB2ACE" w14:textId="4205ED6A" w:rsidR="00785F93" w:rsidRPr="00785F93" w:rsidRDefault="0099238E" w:rsidP="00785F93">
      <w:pPr>
        <w:pStyle w:val="ListParagraph"/>
        <w:numPr>
          <w:ilvl w:val="0"/>
          <w:numId w:val="8"/>
        </w:numPr>
        <w:jc w:val="both"/>
        <w:rPr>
          <w:rFonts w:ascii="Times New Roman" w:hAnsi="Times New Roman" w:cs="Times New Roman"/>
          <w:b/>
          <w:bCs/>
          <w:sz w:val="24"/>
          <w:szCs w:val="24"/>
          <w:u w:val="single"/>
          <w:lang w:val="fr-BE"/>
        </w:rPr>
      </w:pPr>
      <w:r w:rsidRPr="00785F93">
        <w:rPr>
          <w:rFonts w:ascii="Times New Roman" w:hAnsi="Times New Roman" w:cs="Times New Roman"/>
          <w:b/>
          <w:bCs/>
          <w:sz w:val="24"/>
          <w:szCs w:val="24"/>
          <w:u w:val="single"/>
          <w:lang w:val="fr-BE"/>
        </w:rPr>
        <w:t>Clarté</w:t>
      </w:r>
    </w:p>
    <w:p w14:paraId="40844718" w14:textId="202304C7" w:rsidR="0099238E" w:rsidRPr="00785F93" w:rsidRDefault="00785F93" w:rsidP="00785F93">
      <w:pPr>
        <w:jc w:val="both"/>
        <w:rPr>
          <w:rFonts w:ascii="Times New Roman" w:hAnsi="Times New Roman" w:cs="Times New Roman"/>
          <w:sz w:val="24"/>
          <w:szCs w:val="24"/>
          <w:lang w:val="fr-BE"/>
        </w:rPr>
      </w:pPr>
      <w:r w:rsidRPr="00785F93">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99238E" w:rsidRPr="00785F93">
        <w:rPr>
          <w:rFonts w:ascii="Times New Roman" w:hAnsi="Times New Roman" w:cs="Times New Roman"/>
          <w:sz w:val="24"/>
          <w:szCs w:val="24"/>
          <w:lang w:val="fr-BE"/>
        </w:rPr>
        <w:t>Il y a une réponse claire et certaine à chaque question juridique</w:t>
      </w:r>
    </w:p>
    <w:p w14:paraId="736462B3" w14:textId="486441DB" w:rsidR="00785F93" w:rsidRPr="00785F93" w:rsidRDefault="0099238E" w:rsidP="00AD0C4B">
      <w:pPr>
        <w:jc w:val="both"/>
        <w:rPr>
          <w:rFonts w:ascii="Times New Roman" w:hAnsi="Times New Roman" w:cs="Times New Roman"/>
          <w:sz w:val="24"/>
          <w:szCs w:val="24"/>
          <w:u w:val="single"/>
          <w:lang w:val="fr-BE"/>
        </w:rPr>
      </w:pPr>
      <w:r w:rsidRPr="0099238E">
        <w:rPr>
          <w:rFonts w:ascii="Times New Roman" w:hAnsi="Times New Roman" w:cs="Times New Roman"/>
          <w:sz w:val="24"/>
          <w:szCs w:val="24"/>
          <w:u w:val="single"/>
          <w:lang w:val="fr-BE"/>
        </w:rPr>
        <w:t>Le syllogisme de Beccaria (18e siècle)</w:t>
      </w:r>
    </w:p>
    <w:p w14:paraId="27F88386" w14:textId="6B2E89AB" w:rsidR="0099238E" w:rsidRPr="0099238E" w:rsidRDefault="0099238E" w:rsidP="00785F93">
      <w:pPr>
        <w:jc w:val="both"/>
        <w:rPr>
          <w:rFonts w:ascii="Times New Roman" w:hAnsi="Times New Roman" w:cs="Times New Roman"/>
          <w:sz w:val="24"/>
          <w:szCs w:val="24"/>
          <w:lang w:val="fr-BE"/>
        </w:rPr>
      </w:pPr>
      <w:r w:rsidRPr="0099238E">
        <w:rPr>
          <w:rFonts w:ascii="Times New Roman" w:hAnsi="Times New Roman" w:cs="Times New Roman"/>
          <w:sz w:val="24"/>
          <w:szCs w:val="24"/>
          <w:lang w:val="fr-BE"/>
        </w:rPr>
        <w:t xml:space="preserve">Rappel : « </w:t>
      </w:r>
      <w:r w:rsidRPr="0099238E">
        <w:rPr>
          <w:rFonts w:ascii="Times New Roman" w:hAnsi="Times New Roman" w:cs="Times New Roman"/>
          <w:i/>
          <w:iCs/>
          <w:sz w:val="24"/>
          <w:szCs w:val="24"/>
          <w:lang w:val="fr-BE"/>
        </w:rPr>
        <w:t xml:space="preserve">En présence de tout délit, le juge doit former un syllogisme parfait : la majeure doit être la loi générale, la mineure est l’acte conforme ou non à la loi, la conclusion étant </w:t>
      </w:r>
      <w:r w:rsidRPr="0099238E">
        <w:rPr>
          <w:rFonts w:ascii="Times New Roman" w:hAnsi="Times New Roman" w:cs="Times New Roman"/>
          <w:i/>
          <w:iCs/>
          <w:sz w:val="24"/>
          <w:szCs w:val="24"/>
          <w:lang w:val="fr-BE"/>
        </w:rPr>
        <w:lastRenderedPageBreak/>
        <w:t>l’acquittement ou la condamnation. Si le juge fait, volontairement ou par contrainte, ne fût-ce que deux syllogismes au lieu d’un seul, c’est la porte ouverte à l’incertitude</w:t>
      </w:r>
      <w:r w:rsidRPr="0099238E">
        <w:rPr>
          <w:rFonts w:ascii="Times New Roman" w:hAnsi="Times New Roman" w:cs="Times New Roman"/>
          <w:sz w:val="24"/>
          <w:szCs w:val="24"/>
          <w:lang w:val="fr-BE"/>
        </w:rPr>
        <w:t xml:space="preserve"> »</w:t>
      </w:r>
    </w:p>
    <w:p w14:paraId="326CD49A" w14:textId="1424EAE5" w:rsidR="00785F93" w:rsidRPr="00785F93" w:rsidRDefault="0099238E" w:rsidP="00785F93">
      <w:pPr>
        <w:pStyle w:val="ListParagraph"/>
        <w:numPr>
          <w:ilvl w:val="0"/>
          <w:numId w:val="8"/>
        </w:numPr>
        <w:jc w:val="both"/>
        <w:rPr>
          <w:rFonts w:ascii="Times New Roman" w:hAnsi="Times New Roman" w:cs="Times New Roman"/>
          <w:b/>
          <w:bCs/>
          <w:sz w:val="24"/>
          <w:szCs w:val="24"/>
          <w:u w:val="single"/>
          <w:lang w:val="fr-BE"/>
        </w:rPr>
      </w:pPr>
      <w:r w:rsidRPr="00785F93">
        <w:rPr>
          <w:rFonts w:ascii="Times New Roman" w:hAnsi="Times New Roman" w:cs="Times New Roman"/>
          <w:b/>
          <w:bCs/>
          <w:sz w:val="24"/>
          <w:szCs w:val="24"/>
          <w:u w:val="single"/>
          <w:lang w:val="fr-BE"/>
        </w:rPr>
        <w:t>Exhaustivité</w:t>
      </w:r>
    </w:p>
    <w:p w14:paraId="40D2FF10" w14:textId="77777777" w:rsidR="00785F93" w:rsidRDefault="00785F93" w:rsidP="00785F93">
      <w:pPr>
        <w:spacing w:after="0"/>
        <w:jc w:val="both"/>
        <w:rPr>
          <w:rFonts w:ascii="Times New Roman" w:hAnsi="Times New Roman" w:cs="Times New Roman"/>
          <w:sz w:val="24"/>
          <w:szCs w:val="24"/>
          <w:lang w:val="fr-BE"/>
        </w:rPr>
      </w:pPr>
      <w:r w:rsidRPr="00785F93">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99238E" w:rsidRPr="00785F93">
        <w:rPr>
          <w:rFonts w:ascii="Times New Roman" w:hAnsi="Times New Roman" w:cs="Times New Roman"/>
          <w:sz w:val="24"/>
          <w:szCs w:val="24"/>
          <w:lang w:val="fr-BE"/>
        </w:rPr>
        <w:t>Pour chaque question factuelle, il y a une réponse juridique :</w:t>
      </w:r>
      <w:r>
        <w:rPr>
          <w:rFonts w:ascii="Times New Roman" w:hAnsi="Times New Roman" w:cs="Times New Roman"/>
          <w:sz w:val="24"/>
          <w:szCs w:val="24"/>
          <w:lang w:val="fr-BE"/>
        </w:rPr>
        <w:t xml:space="preserve"> </w:t>
      </w:r>
      <w:r w:rsidR="0099238E" w:rsidRPr="00785F93">
        <w:rPr>
          <w:rFonts w:ascii="Times New Roman" w:hAnsi="Times New Roman" w:cs="Times New Roman"/>
          <w:sz w:val="24"/>
          <w:szCs w:val="24"/>
          <w:lang w:val="fr-BE"/>
        </w:rPr>
        <w:t>Si nous pensons qu'il n'y a pas de réponse à un problème spécifique, ce n'est pas une lacune, c'est juste que le droit permet au juge de décider légalement la bonne réponse.</w:t>
      </w:r>
    </w:p>
    <w:p w14:paraId="5890AE4A" w14:textId="721DFCC9" w:rsidR="00785F93" w:rsidRDefault="0099238E" w:rsidP="00785F93">
      <w:pPr>
        <w:spacing w:after="0"/>
        <w:jc w:val="both"/>
        <w:rPr>
          <w:rFonts w:ascii="Times New Roman" w:hAnsi="Times New Roman" w:cs="Times New Roman"/>
          <w:sz w:val="24"/>
          <w:szCs w:val="24"/>
          <w:lang w:val="fr-BE"/>
        </w:rPr>
      </w:pPr>
      <w:r w:rsidRPr="00785F93">
        <w:rPr>
          <w:rFonts w:ascii="Times New Roman" w:hAnsi="Times New Roman" w:cs="Times New Roman"/>
          <w:sz w:val="24"/>
          <w:szCs w:val="24"/>
          <w:lang w:val="fr-BE"/>
        </w:rPr>
        <w:br/>
        <w:t xml:space="preserve">« </w:t>
      </w:r>
      <w:r w:rsidRPr="00785F93">
        <w:rPr>
          <w:rFonts w:ascii="Times New Roman" w:hAnsi="Times New Roman" w:cs="Times New Roman"/>
          <w:i/>
          <w:iCs/>
          <w:sz w:val="24"/>
          <w:szCs w:val="24"/>
          <w:lang w:val="fr-BE"/>
        </w:rPr>
        <w:t xml:space="preserve">La théorie des lacunes (...) est erronée ; elle repose en effet sur la méconnaissance du fait que, lorsque l’ordre juridique n’établit pas l’obligation d’un individu d’adopter une certaine conduite, il permet la conduite contraire. (...) Si l’on y regarde de plus près, on s’aperçoit qu[e cette théorie] n’admet l’existence d’une lacune que lorsque l’organe d’application du droit considère le défaut d’une telle norme juridique comme regrettable d’un point de vue de politique juridique, et qu’en conséquence il repousse l’idée d’appliquer le droit en vigueur, alors que cette application serait logiquement tout à fait possible (...). En vérité, logiquement, le droit positif est toujours applicable </w:t>
      </w:r>
      <w:r w:rsidRPr="00785F93">
        <w:rPr>
          <w:rFonts w:ascii="Times New Roman" w:hAnsi="Times New Roman" w:cs="Times New Roman"/>
          <w:sz w:val="24"/>
          <w:szCs w:val="24"/>
          <w:lang w:val="fr-BE"/>
        </w:rPr>
        <w:t xml:space="preserve">» (H. Kelsen, </w:t>
      </w:r>
      <w:r w:rsidRPr="00DC4227">
        <w:rPr>
          <w:rFonts w:ascii="Times New Roman" w:hAnsi="Times New Roman" w:cs="Times New Roman"/>
          <w:i/>
          <w:iCs/>
          <w:sz w:val="24"/>
          <w:szCs w:val="24"/>
          <w:lang w:val="fr-BE"/>
        </w:rPr>
        <w:t>Théorie pure du droit</w:t>
      </w:r>
      <w:r w:rsidRPr="00785F93">
        <w:rPr>
          <w:rFonts w:ascii="Times New Roman" w:hAnsi="Times New Roman" w:cs="Times New Roman"/>
          <w:sz w:val="24"/>
          <w:szCs w:val="24"/>
          <w:lang w:val="fr-BE"/>
        </w:rPr>
        <w:t xml:space="preserve">, </w:t>
      </w:r>
      <w:r w:rsidR="00DC4227">
        <w:rPr>
          <w:rFonts w:ascii="Times New Roman" w:hAnsi="Times New Roman" w:cs="Times New Roman"/>
          <w:sz w:val="24"/>
          <w:szCs w:val="24"/>
          <w:lang w:val="fr-BE"/>
        </w:rPr>
        <w:t>1962 (trad.)</w:t>
      </w:r>
      <w:r w:rsidRPr="00785F93">
        <w:rPr>
          <w:rFonts w:ascii="Times New Roman" w:hAnsi="Times New Roman" w:cs="Times New Roman"/>
          <w:sz w:val="24"/>
          <w:szCs w:val="24"/>
          <w:lang w:val="fr-BE"/>
        </w:rPr>
        <w:t>)</w:t>
      </w:r>
    </w:p>
    <w:p w14:paraId="6D69FD37" w14:textId="108BA6F5" w:rsidR="0099238E" w:rsidRPr="00785F93" w:rsidRDefault="0099238E" w:rsidP="00785F93">
      <w:pPr>
        <w:jc w:val="both"/>
        <w:rPr>
          <w:rFonts w:ascii="Times New Roman" w:hAnsi="Times New Roman" w:cs="Times New Roman"/>
          <w:sz w:val="24"/>
          <w:szCs w:val="24"/>
          <w:lang w:val="fr-BE"/>
        </w:rPr>
      </w:pPr>
      <w:r w:rsidRPr="00785F93">
        <w:rPr>
          <w:rFonts w:ascii="Times New Roman" w:hAnsi="Times New Roman" w:cs="Times New Roman"/>
          <w:sz w:val="24"/>
          <w:szCs w:val="24"/>
          <w:lang w:val="fr-BE"/>
        </w:rPr>
        <w:br/>
        <w:t>→ Illustrations</w:t>
      </w:r>
    </w:p>
    <w:p w14:paraId="21087A47" w14:textId="77777777" w:rsidR="00DC4227" w:rsidRPr="00DC4227" w:rsidRDefault="00DC4227" w:rsidP="00DC4227">
      <w:pPr>
        <w:numPr>
          <w:ilvl w:val="0"/>
          <w:numId w:val="9"/>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La prohibition du non liquet (déni de justice)</w:t>
      </w:r>
    </w:p>
    <w:p w14:paraId="38810C12" w14:textId="77777777" w:rsidR="00DC4227" w:rsidRDefault="00DC4227" w:rsidP="00DC4227">
      <w:pPr>
        <w:numPr>
          <w:ilvl w:val="0"/>
          <w:numId w:val="9"/>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Techniques d'interprétation :</w:t>
      </w:r>
    </w:p>
    <w:p w14:paraId="6582406C" w14:textId="64B1DED1" w:rsidR="00DC4227" w:rsidRPr="00DC4227" w:rsidRDefault="00DC4227" w:rsidP="00DC4227">
      <w:pPr>
        <w:pStyle w:val="ListParagraph"/>
        <w:numPr>
          <w:ilvl w:val="0"/>
          <w:numId w:val="12"/>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Par analogie :</w:t>
      </w:r>
    </w:p>
    <w:p w14:paraId="404818BC" w14:textId="77777777" w:rsidR="00DC4227" w:rsidRDefault="00DC4227" w:rsidP="00DC4227">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 </w:t>
      </w:r>
      <w:r w:rsidRPr="00DC4227">
        <w:rPr>
          <w:rFonts w:ascii="Times New Roman" w:hAnsi="Times New Roman" w:cs="Times New Roman"/>
          <w:i/>
          <w:iCs/>
          <w:sz w:val="24"/>
          <w:szCs w:val="24"/>
          <w:lang w:val="fr-BE"/>
        </w:rPr>
        <w:t xml:space="preserve">En ce qui concerne la question de l'accessibilité, la Cour a jugé acceptable que dans certains pays, un défendeur souhaitant faire appel puisse parfois être tenu de demander une autorisation pour le faire. Cependant, il est bien établi que toute restriction contenue dans la législation nationale sur le droit à un réexamen garanti à l'article 2 du Protocole n° 7 doit, par analogie avec le droit d'accès à un tribunal consacré à l'article 6, § 1 de la Convention, poursuivre un objectif légitime et ne pas porter atteinte à l'essence même de ce droit </w:t>
      </w:r>
      <w:r w:rsidRPr="00DC4227">
        <w:rPr>
          <w:rFonts w:ascii="Times New Roman" w:hAnsi="Times New Roman" w:cs="Times New Roman"/>
          <w:sz w:val="24"/>
          <w:szCs w:val="24"/>
          <w:lang w:val="fr-BE"/>
        </w:rPr>
        <w:t>» (CEDH, Yakovenko c. Ukraine, 4 juin 2015)</w:t>
      </w:r>
    </w:p>
    <w:p w14:paraId="2A8C1240" w14:textId="77777777" w:rsidR="00DC4227" w:rsidRDefault="00DC4227" w:rsidP="00DC4227">
      <w:pPr>
        <w:spacing w:after="0"/>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L'analogie doit concerner des contextes juridiques comparables.</w:t>
      </w:r>
    </w:p>
    <w:p w14:paraId="17B25ED6" w14:textId="77777777" w:rsidR="00DC4227" w:rsidRDefault="00DC4227" w:rsidP="00DC4227">
      <w:pPr>
        <w:spacing w:after="0"/>
        <w:ind w:left="720"/>
        <w:jc w:val="both"/>
        <w:rPr>
          <w:rFonts w:ascii="Times New Roman" w:hAnsi="Times New Roman" w:cs="Times New Roman"/>
          <w:sz w:val="24"/>
          <w:szCs w:val="24"/>
          <w:lang w:val="fr-BE"/>
        </w:rPr>
      </w:pPr>
    </w:p>
    <w:p w14:paraId="2B5C840E" w14:textId="7C723028" w:rsidR="00DC4227" w:rsidRPr="00DC4227" w:rsidRDefault="00DC4227" w:rsidP="00DC4227">
      <w:pPr>
        <w:pStyle w:val="ListParagraph"/>
        <w:numPr>
          <w:ilvl w:val="0"/>
          <w:numId w:val="13"/>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A contrario :</w:t>
      </w:r>
    </w:p>
    <w:p w14:paraId="7B31F4D7" w14:textId="77777777" w:rsidR="00DC4227" w:rsidRDefault="00DC4227" w:rsidP="00DC4227">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 </w:t>
      </w:r>
      <w:r w:rsidRPr="00DC4227">
        <w:rPr>
          <w:rFonts w:ascii="Times New Roman" w:hAnsi="Times New Roman" w:cs="Times New Roman"/>
          <w:i/>
          <w:iCs/>
          <w:sz w:val="24"/>
          <w:szCs w:val="24"/>
          <w:lang w:val="fr-BE"/>
        </w:rPr>
        <w:t>Il est en effet vrai que la Cour doit prendre ces explications dûment en considération […]. Cela implique a contrario que la Cour n'est pas liée par ces explications dans l'interprétation de la Charte</w:t>
      </w:r>
      <w:r w:rsidRPr="00DC4227">
        <w:rPr>
          <w:rFonts w:ascii="Times New Roman" w:hAnsi="Times New Roman" w:cs="Times New Roman"/>
          <w:sz w:val="24"/>
          <w:szCs w:val="24"/>
          <w:lang w:val="fr-BE"/>
        </w:rPr>
        <w:t>. » (CJUE, Avis de l'AG Jääskinen dans C-129/14 PPU Spasic, 2 mai 2014)</w:t>
      </w:r>
    </w:p>
    <w:p w14:paraId="43EC5E9A" w14:textId="77777777" w:rsidR="00DC4227" w:rsidRPr="00DC4227" w:rsidRDefault="00DC4227" w:rsidP="00DC4227">
      <w:pPr>
        <w:pStyle w:val="ListParagraph"/>
        <w:numPr>
          <w:ilvl w:val="0"/>
          <w:numId w:val="13"/>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A fortiori :</w:t>
      </w:r>
    </w:p>
    <w:p w14:paraId="5D47BAF3" w14:textId="1538ED18" w:rsidR="00DC4227" w:rsidRPr="00DC4227" w:rsidRDefault="00DC4227" w:rsidP="00DC4227">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 </w:t>
      </w:r>
      <w:r w:rsidRPr="00DC4227">
        <w:rPr>
          <w:rFonts w:ascii="Times New Roman" w:hAnsi="Times New Roman" w:cs="Times New Roman"/>
          <w:i/>
          <w:iCs/>
          <w:sz w:val="24"/>
          <w:szCs w:val="24"/>
          <w:lang w:val="fr-BE"/>
        </w:rPr>
        <w:t xml:space="preserve">Comme nous avons déjà déterminé que nous avons le pouvoir de recevoir un mémoire d'amicus curiae d'un particulier ou d'une organisation, a fortiori nous sommes en droit d'accepter un tel mémoire d'un membre de l'OMC, à condition qu'il n'y ait pas de prohibition à cet égard […]. Nous ne trouvons pas une telle prohibition. </w:t>
      </w:r>
      <w:r w:rsidRPr="00DC4227">
        <w:rPr>
          <w:rFonts w:ascii="Times New Roman" w:hAnsi="Times New Roman" w:cs="Times New Roman"/>
          <w:sz w:val="24"/>
          <w:szCs w:val="24"/>
          <w:lang w:val="fr-BE"/>
        </w:rPr>
        <w:t xml:space="preserve">» (Organe d'appel de l'OMC, </w:t>
      </w:r>
      <w:r w:rsidRPr="00DC4227">
        <w:rPr>
          <w:rFonts w:ascii="Times New Roman" w:hAnsi="Times New Roman" w:cs="Times New Roman"/>
          <w:i/>
          <w:iCs/>
          <w:sz w:val="24"/>
          <w:szCs w:val="24"/>
          <w:lang w:val="fr-BE"/>
        </w:rPr>
        <w:t>EC — Sardines</w:t>
      </w:r>
      <w:r w:rsidRPr="00DC4227">
        <w:rPr>
          <w:rFonts w:ascii="Times New Roman" w:hAnsi="Times New Roman" w:cs="Times New Roman"/>
          <w:sz w:val="24"/>
          <w:szCs w:val="24"/>
          <w:lang w:val="fr-BE"/>
        </w:rPr>
        <w:t>, para. 164).</w:t>
      </w:r>
    </w:p>
    <w:p w14:paraId="57FE5E8D" w14:textId="547E3298" w:rsidR="00DC4227" w:rsidRPr="00DC4227" w:rsidRDefault="00DC4227" w:rsidP="00DC4227">
      <w:pPr>
        <w:pStyle w:val="ListParagraph"/>
        <w:numPr>
          <w:ilvl w:val="0"/>
          <w:numId w:val="8"/>
        </w:numPr>
        <w:jc w:val="both"/>
        <w:rPr>
          <w:rFonts w:ascii="Times New Roman" w:hAnsi="Times New Roman" w:cs="Times New Roman"/>
          <w:b/>
          <w:bCs/>
          <w:sz w:val="24"/>
          <w:szCs w:val="24"/>
          <w:u w:val="single"/>
          <w:lang w:val="fr-BE"/>
        </w:rPr>
      </w:pPr>
      <w:r w:rsidRPr="00DC4227">
        <w:rPr>
          <w:rFonts w:ascii="Times New Roman" w:hAnsi="Times New Roman" w:cs="Times New Roman"/>
          <w:b/>
          <w:bCs/>
          <w:sz w:val="24"/>
          <w:szCs w:val="24"/>
          <w:u w:val="single"/>
          <w:lang w:val="fr-BE"/>
        </w:rPr>
        <w:t>Cohérence</w:t>
      </w:r>
    </w:p>
    <w:p w14:paraId="004BE30D" w14:textId="77777777" w:rsidR="00DC4227" w:rsidRDefault="00DC4227" w:rsidP="00DC4227">
      <w:p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lastRenderedPageBreak/>
        <w:sym w:font="Wingdings" w:char="F0F3"/>
      </w:r>
      <w:r>
        <w:rPr>
          <w:rFonts w:ascii="Times New Roman" w:hAnsi="Times New Roman" w:cs="Times New Roman"/>
          <w:sz w:val="24"/>
          <w:szCs w:val="24"/>
          <w:lang w:val="fr-BE"/>
        </w:rPr>
        <w:t xml:space="preserve"> </w:t>
      </w:r>
      <w:r w:rsidRPr="00DC4227">
        <w:rPr>
          <w:rFonts w:ascii="Times New Roman" w:hAnsi="Times New Roman" w:cs="Times New Roman"/>
          <w:sz w:val="24"/>
          <w:szCs w:val="24"/>
          <w:lang w:val="fr-BE"/>
        </w:rPr>
        <w:t>Il n'y a pas de contradiction entre les règles juridiques =&gt; il y a toujours un moyen d'</w:t>
      </w:r>
      <w:r w:rsidRPr="00981A42">
        <w:rPr>
          <w:rFonts w:ascii="Times New Roman" w:hAnsi="Times New Roman" w:cs="Times New Roman"/>
          <w:b/>
          <w:bCs/>
          <w:sz w:val="24"/>
          <w:szCs w:val="24"/>
          <w:lang w:val="fr-BE"/>
        </w:rPr>
        <w:t xml:space="preserve">éviter </w:t>
      </w:r>
      <w:r w:rsidRPr="00DC4227">
        <w:rPr>
          <w:rFonts w:ascii="Times New Roman" w:hAnsi="Times New Roman" w:cs="Times New Roman"/>
          <w:sz w:val="24"/>
          <w:szCs w:val="24"/>
          <w:lang w:val="fr-BE"/>
        </w:rPr>
        <w:t>un conflit possible entre elles.</w:t>
      </w:r>
    </w:p>
    <w:p w14:paraId="3AA185ED" w14:textId="77777777" w:rsidR="00DC4227" w:rsidRDefault="00DC4227" w:rsidP="00DC4227">
      <w:p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NB : S'il y a un conflit entre des règles juridiques de différents niveaux dans la pyramide, c'est un </w:t>
      </w:r>
      <w:r w:rsidRPr="00981A42">
        <w:rPr>
          <w:rFonts w:ascii="Times New Roman" w:hAnsi="Times New Roman" w:cs="Times New Roman"/>
          <w:b/>
          <w:bCs/>
          <w:sz w:val="24"/>
          <w:szCs w:val="24"/>
          <w:lang w:val="fr-BE"/>
        </w:rPr>
        <w:t>faux conflit</w:t>
      </w:r>
      <w:r w:rsidRPr="00DC4227">
        <w:rPr>
          <w:rFonts w:ascii="Times New Roman" w:hAnsi="Times New Roman" w:cs="Times New Roman"/>
          <w:sz w:val="24"/>
          <w:szCs w:val="24"/>
          <w:lang w:val="fr-BE"/>
        </w:rPr>
        <w:t xml:space="preserve"> car les normes supérieures ont priorité sur les normes inférieures et ces dernières tirent leur autorité des premières, conformément au principe de hiérarchie des normes.</w:t>
      </w:r>
    </w:p>
    <w:p w14:paraId="23DBEF38" w14:textId="7A28ACE5" w:rsidR="00DC4227" w:rsidRPr="00DC4227" w:rsidRDefault="00DC4227" w:rsidP="00DC4227">
      <w:pPr>
        <w:pStyle w:val="ListParagraph"/>
        <w:numPr>
          <w:ilvl w:val="0"/>
          <w:numId w:val="14"/>
        </w:numPr>
        <w:jc w:val="both"/>
        <w:rPr>
          <w:rFonts w:ascii="Times New Roman" w:hAnsi="Times New Roman" w:cs="Times New Roman"/>
          <w:sz w:val="24"/>
          <w:szCs w:val="24"/>
          <w:u w:val="single"/>
          <w:lang w:val="fr-BE"/>
        </w:rPr>
      </w:pPr>
      <w:r w:rsidRPr="00DC4227">
        <w:rPr>
          <w:rFonts w:ascii="Times New Roman" w:hAnsi="Times New Roman" w:cs="Times New Roman"/>
          <w:sz w:val="24"/>
          <w:szCs w:val="24"/>
          <w:u w:val="single"/>
          <w:lang w:val="fr-BE"/>
        </w:rPr>
        <w:t>Illustrations dans les méthodes d'interprétation juridique</w:t>
      </w:r>
    </w:p>
    <w:p w14:paraId="017ECFDD" w14:textId="77777777" w:rsidR="00B73DA2" w:rsidRDefault="00DC4227" w:rsidP="00DC4227">
      <w:pPr>
        <w:numPr>
          <w:ilvl w:val="0"/>
          <w:numId w:val="10"/>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Le principe de l'interprétation conforme </w:t>
      </w:r>
      <w:r>
        <w:rPr>
          <w:rFonts w:ascii="Times New Roman" w:hAnsi="Times New Roman" w:cs="Times New Roman"/>
          <w:sz w:val="24"/>
          <w:szCs w:val="24"/>
          <w:lang w:val="fr-BE"/>
        </w:rPr>
        <w:t>(droit de l’UE)</w:t>
      </w:r>
    </w:p>
    <w:p w14:paraId="31A74335" w14:textId="77777777" w:rsidR="00B73DA2" w:rsidRDefault="00DC4227" w:rsidP="00B73DA2">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Lorsqu'il existe une possibilité d'incompatibilité d'une norme inférieure avec une norme supérieure, la première doit être interprétée de manière à respecter la seconde.</w:t>
      </w:r>
    </w:p>
    <w:p w14:paraId="5BA1F3B5" w14:textId="77777777" w:rsidR="00B73DA2" w:rsidRDefault="00DC4227" w:rsidP="00B73DA2">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Ex. : Affaire Polisario</w:t>
      </w:r>
    </w:p>
    <w:p w14:paraId="6064DB08" w14:textId="77777777" w:rsidR="00B73DA2" w:rsidRDefault="00DC4227" w:rsidP="00B73DA2">
      <w:pPr>
        <w:ind w:left="720"/>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 123 </w:t>
      </w:r>
      <w:r w:rsidRPr="00DC4227">
        <w:rPr>
          <w:rFonts w:ascii="Times New Roman" w:hAnsi="Times New Roman" w:cs="Times New Roman"/>
          <w:i/>
          <w:iCs/>
          <w:sz w:val="24"/>
          <w:szCs w:val="24"/>
          <w:lang w:val="fr-BE"/>
        </w:rPr>
        <w:t>De plus, l'intention supposée de l'Union européenne, reflétée dans la pratique ultérieure et consistant à considérer les accords d'association et de libéralisation comme juridiquement applicables au territoire du Sahara occidental, aurait nécessairement impliqué de concéder que l'Union européenne avait l'intention de mettre en œuvre ces accords d'une manière incompatible avec les principes de l'autodétermination et de l'effet relatif des traités, même si l'Union européenne a à plusieurs reprises réitéré la nécessité de respecter ces principes, comme le souligne la Commission.</w:t>
      </w:r>
      <w:r w:rsidRPr="00DC4227">
        <w:rPr>
          <w:rFonts w:ascii="Times New Roman" w:hAnsi="Times New Roman" w:cs="Times New Roman"/>
          <w:sz w:val="24"/>
          <w:szCs w:val="24"/>
          <w:lang w:val="fr-BE"/>
        </w:rPr>
        <w:t xml:space="preserve"> » (CJUE, C-104/16 P, Conseil c. Polisario)</w:t>
      </w:r>
    </w:p>
    <w:p w14:paraId="3D161293" w14:textId="09327ADA" w:rsidR="00B73DA2" w:rsidRPr="00B73DA2" w:rsidRDefault="00DC4227" w:rsidP="00B73DA2">
      <w:pPr>
        <w:pStyle w:val="ListParagraph"/>
        <w:numPr>
          <w:ilvl w:val="0"/>
          <w:numId w:val="15"/>
        </w:num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Accord commercial entre le Maroc et l'UE</w:t>
      </w:r>
      <w:r w:rsidR="00B73DA2" w:rsidRPr="00B73DA2">
        <w:rPr>
          <w:rFonts w:ascii="Times New Roman" w:hAnsi="Times New Roman" w:cs="Times New Roman"/>
          <w:sz w:val="24"/>
          <w:szCs w:val="24"/>
          <w:lang w:val="fr-BE"/>
        </w:rPr>
        <w:t xml:space="preserve"> c</w:t>
      </w:r>
      <w:r w:rsidRPr="00B73DA2">
        <w:rPr>
          <w:rFonts w:ascii="Times New Roman" w:hAnsi="Times New Roman" w:cs="Times New Roman"/>
          <w:sz w:val="24"/>
          <w:szCs w:val="24"/>
          <w:lang w:val="fr-BE"/>
        </w:rPr>
        <w:t>ontesté par le Front Polisario, un groupe paramilitaire opérant dans l'Ouest du Sahara, une région que le Maroc prétend contrôler depuis le départ des troupes espagnoles</w:t>
      </w:r>
      <w:r w:rsidR="00B73DA2" w:rsidRPr="00B73DA2">
        <w:rPr>
          <w:rFonts w:ascii="Times New Roman" w:hAnsi="Times New Roman" w:cs="Times New Roman"/>
          <w:sz w:val="24"/>
          <w:szCs w:val="24"/>
          <w:lang w:val="fr-BE"/>
        </w:rPr>
        <w:t> ;</w:t>
      </w:r>
    </w:p>
    <w:p w14:paraId="01AA8E00" w14:textId="25544BFA" w:rsidR="00B73DA2" w:rsidRPr="00B73DA2" w:rsidRDefault="00DC4227" w:rsidP="00B73DA2">
      <w:pPr>
        <w:pStyle w:val="ListParagraph"/>
        <w:numPr>
          <w:ilvl w:val="0"/>
          <w:numId w:val="15"/>
        </w:num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 xml:space="preserve">Le Front Polisario a contesté l'accord parce </w:t>
      </w:r>
      <w:r w:rsidR="00B73DA2" w:rsidRPr="00B73DA2">
        <w:rPr>
          <w:rFonts w:ascii="Times New Roman" w:hAnsi="Times New Roman" w:cs="Times New Roman"/>
          <w:sz w:val="24"/>
          <w:szCs w:val="24"/>
          <w:lang w:val="fr-BE"/>
        </w:rPr>
        <w:t xml:space="preserve">qu’il aurait dû être consulté. </w:t>
      </w:r>
    </w:p>
    <w:p w14:paraId="4775033F" w14:textId="402C682D" w:rsidR="00DC4227" w:rsidRPr="00B73DA2" w:rsidRDefault="00DC4227" w:rsidP="00B73DA2">
      <w:pPr>
        <w:pStyle w:val="ListParagraph"/>
        <w:numPr>
          <w:ilvl w:val="0"/>
          <w:numId w:val="15"/>
        </w:num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La CJUE a déclaré que l'accord ne pouvait pas être contraire au droit international (</w:t>
      </w:r>
      <w:r w:rsidR="00B73DA2" w:rsidRPr="00B73DA2">
        <w:rPr>
          <w:rFonts w:ascii="Times New Roman" w:hAnsi="Times New Roman" w:cs="Times New Roman"/>
          <w:sz w:val="24"/>
          <w:szCs w:val="24"/>
          <w:lang w:val="fr-BE"/>
        </w:rPr>
        <w:t>droit à l’</w:t>
      </w:r>
      <w:r w:rsidRPr="00B73DA2">
        <w:rPr>
          <w:rFonts w:ascii="Times New Roman" w:hAnsi="Times New Roman" w:cs="Times New Roman"/>
          <w:sz w:val="24"/>
          <w:szCs w:val="24"/>
          <w:lang w:val="fr-BE"/>
        </w:rPr>
        <w:t xml:space="preserve">autodétermination), donc le Conseil et le Parlement européens, en tant qu'ils ont signé l'accord, ne pouvaient pas considérer qu'il s'appliquait au Sahara occidental (= une possible </w:t>
      </w:r>
      <w:r w:rsidR="00B73DA2" w:rsidRPr="00B73DA2">
        <w:rPr>
          <w:rFonts w:ascii="Times New Roman" w:hAnsi="Times New Roman" w:cs="Times New Roman"/>
          <w:sz w:val="24"/>
          <w:szCs w:val="24"/>
          <w:lang w:val="fr-BE"/>
        </w:rPr>
        <w:t>distorsion</w:t>
      </w:r>
      <w:r w:rsidRPr="00B73DA2">
        <w:rPr>
          <w:rFonts w:ascii="Times New Roman" w:hAnsi="Times New Roman" w:cs="Times New Roman"/>
          <w:sz w:val="24"/>
          <w:szCs w:val="24"/>
          <w:lang w:val="fr-BE"/>
        </w:rPr>
        <w:t xml:space="preserve"> des faits…).</w:t>
      </w:r>
    </w:p>
    <w:p w14:paraId="6F0A61CC" w14:textId="77777777" w:rsidR="00DC4227" w:rsidRPr="00DC4227" w:rsidRDefault="00DC4227" w:rsidP="00DC4227">
      <w:pPr>
        <w:numPr>
          <w:ilvl w:val="0"/>
          <w:numId w:val="10"/>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Lex specialis derogat (legi) generali</w:t>
      </w:r>
    </w:p>
    <w:p w14:paraId="20E940FC" w14:textId="77777777" w:rsidR="00B73DA2" w:rsidRDefault="00DC4227" w:rsidP="00DC4227">
      <w:p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Ex. : Cour internationale de justice, Avis consultatif sur la légalité de la menace ou de l'usage d'armes nucléaires (8 juillet 1996) :</w:t>
      </w:r>
    </w:p>
    <w:p w14:paraId="7C56CE1C" w14:textId="1C8E79F4" w:rsidR="00DC4227" w:rsidRPr="00DC4227" w:rsidRDefault="00DC4227" w:rsidP="00DC4227">
      <w:p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 </w:t>
      </w:r>
      <w:r w:rsidRPr="00DC4227">
        <w:rPr>
          <w:rFonts w:ascii="Times New Roman" w:hAnsi="Times New Roman" w:cs="Times New Roman"/>
          <w:i/>
          <w:iCs/>
          <w:sz w:val="24"/>
          <w:szCs w:val="24"/>
          <w:lang w:val="fr-BE"/>
        </w:rPr>
        <w:t>La protection du Pacte international relatif aux droits civils et politiques ne cesse pas en temps de guerre (…) En principe, le droit de ne pas être arbitrairement privé de sa vie s'applique également dans les hostilités. Le test de ce qui constitue une privation arbitraire de vie doit cependant être déterminé par la lex specialis applicable, à savoir le droit applicable en temps de conflit armé qui est conçu pour réguler la conduite des hostilités. Ainsi, la question de savoir si une perte de vie particulière, due à l'utilisation d'une certaine arme en temps de guerre, doit être considérée comme une privation arbitraire de vie contraire à l'article 6 du Pacte, ne peut être tranchée qu'en référence au droit applicable en temps de conflit armé et non déduite des termes du Pacte lui-même</w:t>
      </w:r>
      <w:r w:rsidRPr="00DC4227">
        <w:rPr>
          <w:rFonts w:ascii="Times New Roman" w:hAnsi="Times New Roman" w:cs="Times New Roman"/>
          <w:sz w:val="24"/>
          <w:szCs w:val="24"/>
          <w:lang w:val="fr-BE"/>
        </w:rPr>
        <w:t>. »</w:t>
      </w:r>
    </w:p>
    <w:p w14:paraId="0561AE7B" w14:textId="77777777" w:rsidR="00B73DA2" w:rsidRDefault="00DC4227" w:rsidP="00DC4227">
      <w:pPr>
        <w:numPr>
          <w:ilvl w:val="0"/>
          <w:numId w:val="11"/>
        </w:num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Lex posterior derogat (legi) priori</w:t>
      </w:r>
    </w:p>
    <w:p w14:paraId="711ACC64" w14:textId="77777777" w:rsidR="00B73DA2" w:rsidRDefault="00DC4227" w:rsidP="00B73DA2">
      <w:pPr>
        <w:jc w:val="both"/>
        <w:rPr>
          <w:rFonts w:ascii="Times New Roman" w:hAnsi="Times New Roman" w:cs="Times New Roman"/>
          <w:sz w:val="24"/>
          <w:szCs w:val="24"/>
          <w:lang w:val="fr-BE"/>
        </w:rPr>
      </w:pPr>
      <w:r w:rsidRPr="003A67CB">
        <w:rPr>
          <w:rFonts w:ascii="Times New Roman" w:hAnsi="Times New Roman" w:cs="Times New Roman"/>
          <w:sz w:val="24"/>
          <w:szCs w:val="24"/>
          <w:lang w:val="fr-BE"/>
        </w:rPr>
        <w:lastRenderedPageBreak/>
        <w:t xml:space="preserve">Ex. : Bundesverfassungsgericht (Cour constitutionnelle fédérale d'Allemagne), ordonnance du 15.12.15, 2 BvL 1/12 : « </w:t>
      </w:r>
      <w:r w:rsidRPr="003A67CB">
        <w:rPr>
          <w:rFonts w:ascii="Times New Roman" w:hAnsi="Times New Roman" w:cs="Times New Roman"/>
          <w:i/>
          <w:iCs/>
          <w:sz w:val="24"/>
          <w:szCs w:val="24"/>
          <w:lang w:val="fr-BE"/>
        </w:rPr>
        <w:t>Puisqu'en vertu de la Constitution allemande, tout traité international a le statut d'une simple loi fédérale, le Bundesverfassungsgericht (Cour constitutionnelle fédérale) a statué que le législateur allemand doit être en mesure, conformément aux principes de la démocratie et de la continuité parlementaire, de passer outre un traité international antérieur. Par conséquent, le conflit résultant de l'incompatibilité entre un traité international et une loi fédérale ultérieure doit être résolu en appliquant les règles générales de la primauté de la lex posterior (loi ultérieure) et de la lex specialis (loi spéciale), indépendamment de toute violation potentielle du droit international, qui pourrait donner lieu à une responsabilité de l'État.</w:t>
      </w:r>
      <w:r w:rsidRPr="003A67CB">
        <w:rPr>
          <w:rFonts w:ascii="Times New Roman" w:hAnsi="Times New Roman" w:cs="Times New Roman"/>
          <w:sz w:val="24"/>
          <w:szCs w:val="24"/>
          <w:lang w:val="fr-BE"/>
        </w:rPr>
        <w:t xml:space="preserve"> »</w:t>
      </w:r>
    </w:p>
    <w:p w14:paraId="382FAE18" w14:textId="77777777" w:rsidR="00B73DA2" w:rsidRDefault="00DC4227" w:rsidP="00B73DA2">
      <w:pPr>
        <w:jc w:val="both"/>
        <w:rPr>
          <w:rFonts w:ascii="Times New Roman" w:hAnsi="Times New Roman" w:cs="Times New Roman"/>
          <w:sz w:val="24"/>
          <w:szCs w:val="24"/>
          <w:lang w:val="fr-BE"/>
        </w:rPr>
      </w:pPr>
      <w:r w:rsidRPr="00DC4227">
        <w:rPr>
          <w:rFonts w:ascii="Times New Roman" w:hAnsi="Times New Roman" w:cs="Times New Roman"/>
          <w:sz w:val="24"/>
          <w:szCs w:val="24"/>
          <w:lang w:val="fr-BE"/>
        </w:rPr>
        <w:t xml:space="preserve">NB : </w:t>
      </w:r>
      <w:r w:rsidRPr="00DC4227">
        <w:rPr>
          <w:rFonts w:ascii="Times New Roman" w:hAnsi="Times New Roman" w:cs="Times New Roman"/>
          <w:sz w:val="24"/>
          <w:szCs w:val="24"/>
          <w:highlight w:val="yellow"/>
          <w:lang w:val="fr-BE"/>
        </w:rPr>
        <w:t>Cette décision respecte-t-elle, selon vous, le principe de hiérarchie des normes ?</w:t>
      </w:r>
    </w:p>
    <w:p w14:paraId="38C479E2" w14:textId="77777777" w:rsidR="00B73DA2" w:rsidRPr="00B73DA2" w:rsidRDefault="00B73DA2" w:rsidP="00B73DA2">
      <w:pPr>
        <w:jc w:val="both"/>
        <w:rPr>
          <w:rFonts w:ascii="Times New Roman" w:hAnsi="Times New Roman" w:cs="Times New Roman"/>
          <w:sz w:val="24"/>
          <w:szCs w:val="24"/>
          <w:u w:val="single"/>
          <w:lang w:val="fr-BE"/>
        </w:rPr>
      </w:pPr>
      <w:r>
        <w:rPr>
          <w:rFonts w:ascii="Times New Roman" w:hAnsi="Times New Roman" w:cs="Times New Roman"/>
          <w:sz w:val="24"/>
          <w:szCs w:val="24"/>
          <w:lang w:val="fr-BE"/>
        </w:rPr>
        <w:t xml:space="preserve">=&gt; </w:t>
      </w:r>
      <w:r w:rsidRPr="00B73DA2">
        <w:rPr>
          <w:rFonts w:ascii="Times New Roman" w:hAnsi="Times New Roman" w:cs="Times New Roman"/>
          <w:sz w:val="24"/>
          <w:szCs w:val="24"/>
          <w:u w:val="single"/>
          <w:lang w:val="fr-BE"/>
        </w:rPr>
        <w:t>Illustration avec l’autorité des précédents</w:t>
      </w:r>
    </w:p>
    <w:p w14:paraId="1FEF5810" w14:textId="77777777" w:rsid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Force juridique très élevée dans les pays de common law (moins puissante en Belgique ou au niveau de l'UE, et dans les pays de droit civil en général).</w:t>
      </w:r>
    </w:p>
    <w:p w14:paraId="21557A32" w14:textId="77777777" w:rsidR="00B73DA2" w:rsidRDefault="00B73DA2" w:rsidP="00B73DA2">
      <w:pPr>
        <w:spacing w:after="0" w:line="240" w:lineRule="auto"/>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Cependant, les précédents peuvent être renversés par des cours supérieures et/ou lorsque les circonstances ont changé (cf. la société a changé ou les juges ont changé…).</w:t>
      </w:r>
    </w:p>
    <w:p w14:paraId="4D45F4E1" w14:textId="77777777" w:rsidR="00B73DA2" w:rsidRDefault="00B73DA2" w:rsidP="00B73DA2">
      <w:pPr>
        <w:spacing w:after="0"/>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br/>
        <w:t>Par ex, le droit à l'avortement aux États-Unis, protégé par la Constitution ?</w:t>
      </w:r>
    </w:p>
    <w:p w14:paraId="4E921F7D" w14:textId="6E54FB9F"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br/>
        <w:t xml:space="preserve">• </w:t>
      </w:r>
      <w:r w:rsidRPr="00B73DA2">
        <w:rPr>
          <w:rFonts w:ascii="Times New Roman" w:hAnsi="Times New Roman" w:cs="Times New Roman"/>
          <w:i/>
          <w:iCs/>
          <w:sz w:val="24"/>
          <w:szCs w:val="24"/>
          <w:lang w:val="fr-BE"/>
        </w:rPr>
        <w:t>Roe v. Wade</w:t>
      </w:r>
      <w:r w:rsidRPr="00B73DA2">
        <w:rPr>
          <w:rFonts w:ascii="Times New Roman" w:hAnsi="Times New Roman" w:cs="Times New Roman"/>
          <w:sz w:val="24"/>
          <w:szCs w:val="24"/>
          <w:lang w:val="fr-BE"/>
        </w:rPr>
        <w:t xml:space="preserve"> (1973) – majorité 7 / en accord 3 / dissidents 2 : Il est inconstitutionnel d’interdire l’avortement, mais ce droit n’est pas absolu et doit être équilibré avec d’autres intérêts gouvernementaux dans la protection de la santé des femmes et de la vie du fœtus.</w:t>
      </w:r>
    </w:p>
    <w:p w14:paraId="56CEEAC1" w14:textId="77777777"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=&gt; En pratique, l'avortement ne peut pas être interdit par des réglementations fédérales et étatiques avant qu'il n'y ait de danger pour la santé de la femme enceinte (fin du premier trimestre, c’est-à-dire environ 3 mois), ni avant que le fœtus ne soit viable (24 semaines, c’est-à-dire environ 5 mois).</w:t>
      </w:r>
    </w:p>
    <w:p w14:paraId="5B10E0FA" w14:textId="77777777"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Base juridique : Clause de due process (5ème (fédéral) et 14ème (états) Amendements = personne ne doit être "</w:t>
      </w:r>
      <w:r w:rsidRPr="00B73DA2">
        <w:rPr>
          <w:rFonts w:ascii="Times New Roman" w:hAnsi="Times New Roman" w:cs="Times New Roman"/>
          <w:b/>
          <w:bCs/>
          <w:sz w:val="24"/>
          <w:szCs w:val="24"/>
          <w:lang w:val="fr-BE"/>
        </w:rPr>
        <w:t>privé de la vie, de la liberté ou de la propriété</w:t>
      </w:r>
      <w:r w:rsidRPr="00B73DA2">
        <w:rPr>
          <w:rFonts w:ascii="Times New Roman" w:hAnsi="Times New Roman" w:cs="Times New Roman"/>
          <w:sz w:val="24"/>
          <w:szCs w:val="24"/>
          <w:lang w:val="fr-BE"/>
        </w:rPr>
        <w:t xml:space="preserve"> sans due process of law [c’est-à-dire, en dehors de la procédure établie par les règles juridiques et la jurisprudence à cet égard, ce qui inclut le devoir de l'État d'informer, d'entendre et de prendre des décisions non arbitraires]."</w:t>
      </w:r>
    </w:p>
    <w:p w14:paraId="30DADFAE" w14:textId="77777777" w:rsid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Pr="00B73DA2">
        <w:rPr>
          <w:rFonts w:ascii="Times New Roman" w:hAnsi="Times New Roman" w:cs="Times New Roman"/>
          <w:sz w:val="24"/>
          <w:szCs w:val="24"/>
          <w:lang w:val="fr-BE"/>
        </w:rPr>
        <w:t>Le texte ne contient qu'un aspect procédural.</w:t>
      </w:r>
    </w:p>
    <w:p w14:paraId="3193C21E" w14:textId="6FA1E4FE"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MAIS la Cour suprême des États-Unis (SCOTUS) l'a interprété de manière évolutive, de sorte qu'il inclut également un aspect substantiel.</w:t>
      </w:r>
    </w:p>
    <w:p w14:paraId="45646717" w14:textId="57C3F658"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Roe v. Wade dit que la dimension substantielle de la clause de due process protège le droit à la vie privée des femmes enceintes.</w:t>
      </w:r>
    </w:p>
    <w:p w14:paraId="37D3B625" w14:textId="77777777"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 xml:space="preserve">• Roe v. Wade a été annulé par </w:t>
      </w:r>
      <w:r w:rsidRPr="00B73DA2">
        <w:rPr>
          <w:rFonts w:ascii="Times New Roman" w:hAnsi="Times New Roman" w:cs="Times New Roman"/>
          <w:i/>
          <w:iCs/>
          <w:sz w:val="24"/>
          <w:szCs w:val="24"/>
          <w:lang w:val="fr-BE"/>
        </w:rPr>
        <w:t>Dobbs v. Jackson Women's Health Organization</w:t>
      </w:r>
      <w:r w:rsidRPr="00B73DA2">
        <w:rPr>
          <w:rFonts w:ascii="Times New Roman" w:hAnsi="Times New Roman" w:cs="Times New Roman"/>
          <w:sz w:val="24"/>
          <w:szCs w:val="24"/>
          <w:lang w:val="fr-BE"/>
        </w:rPr>
        <w:t xml:space="preserve"> (2022) – majorité 6 (y compris Gorsuch, Kavanaugh et Barrett – nommés par Donald Trump) / en accord 2 / dissidents 3 (y compris Breyer), concernant la constitutionnalité d'une loi du Mississippi de 2018 interdisant la plupart des opérations d'avortement après 15 semaines de grossesse : les </w:t>
      </w:r>
      <w:r w:rsidRPr="00B73DA2">
        <w:rPr>
          <w:rFonts w:ascii="Times New Roman" w:hAnsi="Times New Roman" w:cs="Times New Roman"/>
          <w:sz w:val="24"/>
          <w:szCs w:val="24"/>
          <w:lang w:val="fr-BE"/>
        </w:rPr>
        <w:lastRenderedPageBreak/>
        <w:t>États-Unis peuvent réguler tout aspect de l'avortement non protégé par la loi fédérale (y compris l'interdiction).</w:t>
      </w:r>
    </w:p>
    <w:p w14:paraId="4FFF8CA5" w14:textId="70B35EE5" w:rsidR="00B73DA2" w:rsidRPr="00B73DA2" w:rsidRDefault="00B73DA2" w:rsidP="00B73DA2">
      <w:pPr>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Base juridique : le droit substantiel à l'avortement n'est pas "profondément enraciné dans l'histoire ou la tradition des États-Unis", ni considéré comme un droit lorsque la clause de due process a été ratifiée en 1868.</w:t>
      </w:r>
    </w:p>
    <w:p w14:paraId="78D01B9D" w14:textId="62C05AF5" w:rsidR="00B73DA2" w:rsidRPr="00B73DA2" w:rsidRDefault="00B73DA2" w:rsidP="00B73DA2">
      <w:pPr>
        <w:pStyle w:val="ListParagraph"/>
        <w:numPr>
          <w:ilvl w:val="0"/>
          <w:numId w:val="8"/>
        </w:numPr>
        <w:jc w:val="both"/>
        <w:rPr>
          <w:rFonts w:ascii="Times New Roman" w:hAnsi="Times New Roman" w:cs="Times New Roman"/>
          <w:sz w:val="24"/>
          <w:szCs w:val="24"/>
          <w:u w:val="single"/>
          <w:lang w:val="fr-BE"/>
        </w:rPr>
      </w:pPr>
      <w:r w:rsidRPr="00B73DA2">
        <w:rPr>
          <w:rFonts w:ascii="Times New Roman" w:hAnsi="Times New Roman" w:cs="Times New Roman"/>
          <w:b/>
          <w:bCs/>
          <w:sz w:val="24"/>
          <w:szCs w:val="24"/>
          <w:u w:val="single"/>
          <w:lang w:val="fr-BE"/>
        </w:rPr>
        <w:t>Généralité</w:t>
      </w:r>
    </w:p>
    <w:p w14:paraId="3A174BCC" w14:textId="6256A8DF" w:rsidR="00B73DA2" w:rsidRDefault="00B73DA2" w:rsidP="00B73DA2">
      <w:pPr>
        <w:jc w:val="both"/>
        <w:rPr>
          <w:lang w:val="fr-BE"/>
        </w:rPr>
      </w:pPr>
      <w:r w:rsidRPr="00B73DA2">
        <w:rPr>
          <w:rFonts w:ascii="Times New Roman" w:hAnsi="Times New Roman" w:cs="Times New Roman"/>
          <w:sz w:val="24"/>
          <w:szCs w:val="24"/>
          <w:lang w:val="fr-BE"/>
        </w:rPr>
        <w:t>Les règles s'appliquent à tout le monde de la même manière.</w:t>
      </w:r>
    </w:p>
    <w:p w14:paraId="126B0A64" w14:textId="77777777" w:rsidR="00B73DA2" w:rsidRDefault="00B73DA2" w:rsidP="00B73DA2">
      <w:pPr>
        <w:jc w:val="both"/>
        <w:rPr>
          <w:rFonts w:ascii="Times New Roman" w:hAnsi="Times New Roman" w:cs="Times New Roman"/>
          <w:sz w:val="24"/>
          <w:szCs w:val="24"/>
          <w:lang w:val="fr-BE"/>
        </w:rPr>
      </w:pPr>
      <w:r w:rsidRPr="00B73DA2">
        <w:rPr>
          <w:lang w:val="fr-BE"/>
        </w:rPr>
        <w:sym w:font="Wingdings" w:char="F0F3"/>
      </w:r>
      <w:r>
        <w:rPr>
          <w:lang w:val="fr-BE"/>
        </w:rPr>
        <w:t xml:space="preserve"> </w:t>
      </w:r>
      <w:r w:rsidRPr="00B73DA2">
        <w:rPr>
          <w:rFonts w:ascii="Times New Roman" w:hAnsi="Times New Roman" w:cs="Times New Roman"/>
          <w:sz w:val="24"/>
          <w:szCs w:val="24"/>
          <w:lang w:val="fr-BE"/>
        </w:rPr>
        <w:t>Égalité formelle, qui est censée atteindre l'égalité substantielle.</w:t>
      </w:r>
    </w:p>
    <w:p w14:paraId="2C474C94" w14:textId="0AB638AB" w:rsidR="00B73DA2" w:rsidRDefault="00B73DA2" w:rsidP="00981A42">
      <w:pPr>
        <w:pStyle w:val="ListParagraph"/>
        <w:numPr>
          <w:ilvl w:val="0"/>
          <w:numId w:val="14"/>
        </w:numPr>
        <w:spacing w:after="0"/>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Le système comprend des règles pour corriger la situation lorsque l'égalité substantielle n'est pas atteinte.</w:t>
      </w:r>
    </w:p>
    <w:p w14:paraId="615B97C9" w14:textId="77777777" w:rsidR="00981A42" w:rsidRPr="00981A42" w:rsidRDefault="00981A42" w:rsidP="00981A42">
      <w:pPr>
        <w:pStyle w:val="ListParagraph"/>
        <w:spacing w:after="0"/>
        <w:jc w:val="both"/>
        <w:rPr>
          <w:rFonts w:ascii="Times New Roman" w:hAnsi="Times New Roman" w:cs="Times New Roman"/>
          <w:sz w:val="24"/>
          <w:szCs w:val="24"/>
          <w:lang w:val="fr-BE"/>
        </w:rPr>
      </w:pPr>
    </w:p>
    <w:p w14:paraId="19C382AA" w14:textId="0F2E45C2" w:rsidR="00B73DA2" w:rsidRPr="00B73DA2" w:rsidRDefault="00B73DA2" w:rsidP="00B73DA2">
      <w:pPr>
        <w:pStyle w:val="ListParagraph"/>
        <w:jc w:val="both"/>
        <w:rPr>
          <w:rFonts w:ascii="Times New Roman" w:hAnsi="Times New Roman" w:cs="Times New Roman"/>
          <w:sz w:val="24"/>
          <w:szCs w:val="24"/>
          <w:lang w:val="fr-BE"/>
        </w:rPr>
      </w:pPr>
      <w:r w:rsidRPr="00B73DA2">
        <w:rPr>
          <w:rFonts w:ascii="Times New Roman" w:hAnsi="Times New Roman" w:cs="Times New Roman"/>
          <w:sz w:val="24"/>
          <w:szCs w:val="24"/>
          <w:lang w:val="fr-BE"/>
        </w:rPr>
        <w:t>Ex. Interdiction de la discrimination indirecte</w:t>
      </w:r>
      <w:r w:rsidR="00C4350F">
        <w:rPr>
          <w:rFonts w:ascii="Times New Roman" w:hAnsi="Times New Roman" w:cs="Times New Roman"/>
          <w:sz w:val="24"/>
          <w:szCs w:val="24"/>
          <w:lang w:val="fr-BE"/>
        </w:rPr>
        <w:t xml:space="preserve"> ; </w:t>
      </w:r>
      <w:r w:rsidR="00C4350F" w:rsidRPr="00925E4D">
        <w:rPr>
          <w:rFonts w:ascii="Times New Roman" w:hAnsi="Times New Roman" w:cs="Times New Roman"/>
          <w:sz w:val="24"/>
          <w:szCs w:val="24"/>
          <w:lang w:val="fr-BE"/>
        </w:rPr>
        <w:t>discrimination positive pour compenser les désavantages</w:t>
      </w:r>
    </w:p>
    <w:p w14:paraId="09A289A2" w14:textId="77777777" w:rsidR="00B73DA2" w:rsidRPr="00DC4227" w:rsidRDefault="00B73DA2" w:rsidP="00B73DA2">
      <w:pPr>
        <w:jc w:val="both"/>
        <w:rPr>
          <w:rFonts w:ascii="Times New Roman" w:hAnsi="Times New Roman" w:cs="Times New Roman"/>
          <w:sz w:val="24"/>
          <w:szCs w:val="24"/>
          <w:lang w:val="fr-BE"/>
        </w:rPr>
      </w:pPr>
    </w:p>
    <w:p w14:paraId="34B6796E" w14:textId="77777777" w:rsidR="00DC4227" w:rsidRPr="0099238E" w:rsidRDefault="00DC4227" w:rsidP="00DC4227">
      <w:pPr>
        <w:jc w:val="both"/>
        <w:rPr>
          <w:rFonts w:ascii="Times New Roman" w:hAnsi="Times New Roman" w:cs="Times New Roman"/>
          <w:sz w:val="24"/>
          <w:szCs w:val="24"/>
          <w:lang w:val="fr-BE"/>
        </w:rPr>
      </w:pPr>
    </w:p>
    <w:p w14:paraId="2F1BFA2E" w14:textId="77777777" w:rsidR="0099238E" w:rsidRPr="00C15750" w:rsidRDefault="0099238E" w:rsidP="0099238E">
      <w:pPr>
        <w:jc w:val="both"/>
        <w:rPr>
          <w:rFonts w:ascii="Times New Roman" w:hAnsi="Times New Roman" w:cs="Times New Roman"/>
          <w:sz w:val="24"/>
          <w:szCs w:val="24"/>
          <w:lang w:val="fr-BE"/>
        </w:rPr>
      </w:pPr>
    </w:p>
    <w:p w14:paraId="2934EA2C" w14:textId="77777777" w:rsidR="00890630" w:rsidRPr="0099238E" w:rsidRDefault="00890630" w:rsidP="0099238E">
      <w:pPr>
        <w:jc w:val="both"/>
        <w:rPr>
          <w:rFonts w:ascii="Times New Roman" w:hAnsi="Times New Roman" w:cs="Times New Roman"/>
          <w:sz w:val="24"/>
          <w:szCs w:val="24"/>
          <w:lang w:val="fr-BE"/>
        </w:rPr>
      </w:pPr>
    </w:p>
    <w:sectPr w:rsidR="00890630" w:rsidRPr="009923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5pt;height:11.05pt" o:bullet="t">
        <v:imagedata r:id="rId1" o:title="mso8760"/>
      </v:shape>
    </w:pict>
  </w:numPicBullet>
  <w:abstractNum w:abstractNumId="0" w15:restartNumberingAfterBreak="0">
    <w:nsid w:val="101404C0"/>
    <w:multiLevelType w:val="hybridMultilevel"/>
    <w:tmpl w:val="431ABA50"/>
    <w:lvl w:ilvl="0" w:tplc="080C0007">
      <w:start w:val="1"/>
      <w:numFmt w:val="bullet"/>
      <w:lvlText w:val=""/>
      <w:lvlPicBulletId w:val="0"/>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 w15:restartNumberingAfterBreak="0">
    <w:nsid w:val="1C5D62EA"/>
    <w:multiLevelType w:val="hybridMultilevel"/>
    <w:tmpl w:val="FC2E02CC"/>
    <w:lvl w:ilvl="0" w:tplc="51326354">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E7074B5"/>
    <w:multiLevelType w:val="multilevel"/>
    <w:tmpl w:val="4138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F7193"/>
    <w:multiLevelType w:val="hybridMultilevel"/>
    <w:tmpl w:val="18640FB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4713B16"/>
    <w:multiLevelType w:val="multilevel"/>
    <w:tmpl w:val="0A6C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36E16"/>
    <w:multiLevelType w:val="multilevel"/>
    <w:tmpl w:val="3E849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7D0B26"/>
    <w:multiLevelType w:val="multilevel"/>
    <w:tmpl w:val="A15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37D1E"/>
    <w:multiLevelType w:val="multilevel"/>
    <w:tmpl w:val="6768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C2639"/>
    <w:multiLevelType w:val="multilevel"/>
    <w:tmpl w:val="02666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2740BB"/>
    <w:multiLevelType w:val="hybridMultilevel"/>
    <w:tmpl w:val="082E18C0"/>
    <w:lvl w:ilvl="0" w:tplc="7FC6457C">
      <w:start w:val="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2A93040"/>
    <w:multiLevelType w:val="hybridMultilevel"/>
    <w:tmpl w:val="AE0ECFDA"/>
    <w:lvl w:ilvl="0" w:tplc="080C0007">
      <w:start w:val="1"/>
      <w:numFmt w:val="bullet"/>
      <w:lvlText w:val=""/>
      <w:lvlPicBulletId w:val="0"/>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63F8006C"/>
    <w:multiLevelType w:val="hybridMultilevel"/>
    <w:tmpl w:val="DD3CEAAC"/>
    <w:lvl w:ilvl="0" w:tplc="080C0007">
      <w:start w:val="1"/>
      <w:numFmt w:val="bullet"/>
      <w:lvlText w:val=""/>
      <w:lvlPicBulletId w:val="0"/>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2" w15:restartNumberingAfterBreak="0">
    <w:nsid w:val="71257B78"/>
    <w:multiLevelType w:val="hybridMultilevel"/>
    <w:tmpl w:val="D1E856C6"/>
    <w:lvl w:ilvl="0" w:tplc="2BF48AF8">
      <w:start w:val="2"/>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3EF6622"/>
    <w:multiLevelType w:val="multilevel"/>
    <w:tmpl w:val="DC48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FA14A9"/>
    <w:multiLevelType w:val="multilevel"/>
    <w:tmpl w:val="9746C0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02193D"/>
    <w:multiLevelType w:val="multilevel"/>
    <w:tmpl w:val="F066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FB326D"/>
    <w:multiLevelType w:val="hybridMultilevel"/>
    <w:tmpl w:val="9EB89FAC"/>
    <w:lvl w:ilvl="0" w:tplc="00C84C46">
      <w:start w:val="1"/>
      <w:numFmt w:val="upperLetter"/>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57534412">
    <w:abstractNumId w:val="2"/>
  </w:num>
  <w:num w:numId="2" w16cid:durableId="925309965">
    <w:abstractNumId w:val="5"/>
  </w:num>
  <w:num w:numId="3" w16cid:durableId="1827623470">
    <w:abstractNumId w:val="14"/>
  </w:num>
  <w:num w:numId="4" w16cid:durableId="1134102366">
    <w:abstractNumId w:val="15"/>
  </w:num>
  <w:num w:numId="5" w16cid:durableId="2058505235">
    <w:abstractNumId w:val="8"/>
  </w:num>
  <w:num w:numId="6" w16cid:durableId="2079396576">
    <w:abstractNumId w:val="6"/>
  </w:num>
  <w:num w:numId="7" w16cid:durableId="1272662651">
    <w:abstractNumId w:val="3"/>
  </w:num>
  <w:num w:numId="8" w16cid:durableId="1584340874">
    <w:abstractNumId w:val="16"/>
  </w:num>
  <w:num w:numId="9" w16cid:durableId="618952924">
    <w:abstractNumId w:val="4"/>
  </w:num>
  <w:num w:numId="10" w16cid:durableId="1441880274">
    <w:abstractNumId w:val="13"/>
  </w:num>
  <w:num w:numId="11" w16cid:durableId="841354598">
    <w:abstractNumId w:val="7"/>
  </w:num>
  <w:num w:numId="12" w16cid:durableId="1867790602">
    <w:abstractNumId w:val="11"/>
  </w:num>
  <w:num w:numId="13" w16cid:durableId="102312495">
    <w:abstractNumId w:val="0"/>
  </w:num>
  <w:num w:numId="14" w16cid:durableId="359747483">
    <w:abstractNumId w:val="1"/>
  </w:num>
  <w:num w:numId="15" w16cid:durableId="945498880">
    <w:abstractNumId w:val="10"/>
  </w:num>
  <w:num w:numId="16" w16cid:durableId="1657800024">
    <w:abstractNumId w:val="9"/>
  </w:num>
  <w:num w:numId="17" w16cid:durableId="18414586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750"/>
    <w:rsid w:val="00013392"/>
    <w:rsid w:val="00112881"/>
    <w:rsid w:val="00150393"/>
    <w:rsid w:val="00172971"/>
    <w:rsid w:val="001E3D10"/>
    <w:rsid w:val="001F3720"/>
    <w:rsid w:val="002264B7"/>
    <w:rsid w:val="002B192C"/>
    <w:rsid w:val="002D516B"/>
    <w:rsid w:val="002D646C"/>
    <w:rsid w:val="002E76B2"/>
    <w:rsid w:val="00307D79"/>
    <w:rsid w:val="00340644"/>
    <w:rsid w:val="00394921"/>
    <w:rsid w:val="003A67CB"/>
    <w:rsid w:val="00421153"/>
    <w:rsid w:val="004B5163"/>
    <w:rsid w:val="00540B89"/>
    <w:rsid w:val="00580E34"/>
    <w:rsid w:val="005A5543"/>
    <w:rsid w:val="005A70A8"/>
    <w:rsid w:val="005C76B8"/>
    <w:rsid w:val="005F04A6"/>
    <w:rsid w:val="006D213E"/>
    <w:rsid w:val="00785F93"/>
    <w:rsid w:val="00890630"/>
    <w:rsid w:val="00925E4D"/>
    <w:rsid w:val="00981A42"/>
    <w:rsid w:val="0099238E"/>
    <w:rsid w:val="0099690B"/>
    <w:rsid w:val="00A01CBA"/>
    <w:rsid w:val="00A1294C"/>
    <w:rsid w:val="00A51A54"/>
    <w:rsid w:val="00A7168D"/>
    <w:rsid w:val="00AB5E64"/>
    <w:rsid w:val="00AD0C4B"/>
    <w:rsid w:val="00AD3621"/>
    <w:rsid w:val="00B165E4"/>
    <w:rsid w:val="00B66F7C"/>
    <w:rsid w:val="00B73DA2"/>
    <w:rsid w:val="00B901C3"/>
    <w:rsid w:val="00BC3F18"/>
    <w:rsid w:val="00C15750"/>
    <w:rsid w:val="00C41388"/>
    <w:rsid w:val="00C4350F"/>
    <w:rsid w:val="00D17E74"/>
    <w:rsid w:val="00DA4D9B"/>
    <w:rsid w:val="00DC4227"/>
    <w:rsid w:val="00F16F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F6B7"/>
  <w15:chartTrackingRefBased/>
  <w15:docId w15:val="{F38EBA83-4D5D-41F1-AE89-16095E83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15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7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7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7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7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75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1575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1575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1575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1575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1575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1575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1575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1575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15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75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15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75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15750"/>
    <w:pPr>
      <w:spacing w:before="160"/>
      <w:jc w:val="center"/>
    </w:pPr>
    <w:rPr>
      <w:i/>
      <w:iCs/>
      <w:color w:val="404040" w:themeColor="text1" w:themeTint="BF"/>
    </w:rPr>
  </w:style>
  <w:style w:type="character" w:customStyle="1" w:styleId="QuoteChar">
    <w:name w:val="Quote Char"/>
    <w:basedOn w:val="DefaultParagraphFont"/>
    <w:link w:val="Quote"/>
    <w:uiPriority w:val="29"/>
    <w:rsid w:val="00C15750"/>
    <w:rPr>
      <w:i/>
      <w:iCs/>
      <w:color w:val="404040" w:themeColor="text1" w:themeTint="BF"/>
      <w:lang w:val="en-GB"/>
    </w:rPr>
  </w:style>
  <w:style w:type="paragraph" w:styleId="ListParagraph">
    <w:name w:val="List Paragraph"/>
    <w:basedOn w:val="Normal"/>
    <w:uiPriority w:val="34"/>
    <w:qFormat/>
    <w:rsid w:val="00C15750"/>
    <w:pPr>
      <w:ind w:left="720"/>
      <w:contextualSpacing/>
    </w:pPr>
  </w:style>
  <w:style w:type="character" w:styleId="IntenseEmphasis">
    <w:name w:val="Intense Emphasis"/>
    <w:basedOn w:val="DefaultParagraphFont"/>
    <w:uiPriority w:val="21"/>
    <w:qFormat/>
    <w:rsid w:val="00C15750"/>
    <w:rPr>
      <w:i/>
      <w:iCs/>
      <w:color w:val="0F4761" w:themeColor="accent1" w:themeShade="BF"/>
    </w:rPr>
  </w:style>
  <w:style w:type="paragraph" w:styleId="IntenseQuote">
    <w:name w:val="Intense Quote"/>
    <w:basedOn w:val="Normal"/>
    <w:next w:val="Normal"/>
    <w:link w:val="IntenseQuoteChar"/>
    <w:uiPriority w:val="30"/>
    <w:qFormat/>
    <w:rsid w:val="00C15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750"/>
    <w:rPr>
      <w:i/>
      <w:iCs/>
      <w:color w:val="0F4761" w:themeColor="accent1" w:themeShade="BF"/>
      <w:lang w:val="en-GB"/>
    </w:rPr>
  </w:style>
  <w:style w:type="character" w:styleId="IntenseReference">
    <w:name w:val="Intense Reference"/>
    <w:basedOn w:val="DefaultParagraphFont"/>
    <w:uiPriority w:val="32"/>
    <w:qFormat/>
    <w:rsid w:val="00C15750"/>
    <w:rPr>
      <w:b/>
      <w:bCs/>
      <w:smallCaps/>
      <w:color w:val="0F4761" w:themeColor="accent1" w:themeShade="BF"/>
      <w:spacing w:val="5"/>
    </w:rPr>
  </w:style>
  <w:style w:type="character" w:styleId="SubtleReference">
    <w:name w:val="Subtle Reference"/>
    <w:basedOn w:val="DefaultParagraphFont"/>
    <w:uiPriority w:val="31"/>
    <w:qFormat/>
    <w:rsid w:val="0099238E"/>
    <w:rPr>
      <w:smallCaps/>
      <w:color w:val="5A5A5A" w:themeColor="text1" w:themeTint="A5"/>
    </w:rPr>
  </w:style>
  <w:style w:type="paragraph" w:styleId="NormalWeb">
    <w:name w:val="Normal (Web)"/>
    <w:basedOn w:val="Normal"/>
    <w:uiPriority w:val="99"/>
    <w:unhideWhenUsed/>
    <w:rsid w:val="00A51A54"/>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894603">
      <w:bodyDiv w:val="1"/>
      <w:marLeft w:val="0"/>
      <w:marRight w:val="0"/>
      <w:marTop w:val="0"/>
      <w:marBottom w:val="0"/>
      <w:divBdr>
        <w:top w:val="none" w:sz="0" w:space="0" w:color="auto"/>
        <w:left w:val="none" w:sz="0" w:space="0" w:color="auto"/>
        <w:bottom w:val="none" w:sz="0" w:space="0" w:color="auto"/>
        <w:right w:val="none" w:sz="0" w:space="0" w:color="auto"/>
      </w:divBdr>
    </w:div>
    <w:div w:id="727845061">
      <w:bodyDiv w:val="1"/>
      <w:marLeft w:val="0"/>
      <w:marRight w:val="0"/>
      <w:marTop w:val="0"/>
      <w:marBottom w:val="0"/>
      <w:divBdr>
        <w:top w:val="none" w:sz="0" w:space="0" w:color="auto"/>
        <w:left w:val="none" w:sz="0" w:space="0" w:color="auto"/>
        <w:bottom w:val="none" w:sz="0" w:space="0" w:color="auto"/>
        <w:right w:val="none" w:sz="0" w:space="0" w:color="auto"/>
      </w:divBdr>
    </w:div>
    <w:div w:id="1029649495">
      <w:bodyDiv w:val="1"/>
      <w:marLeft w:val="0"/>
      <w:marRight w:val="0"/>
      <w:marTop w:val="0"/>
      <w:marBottom w:val="0"/>
      <w:divBdr>
        <w:top w:val="none" w:sz="0" w:space="0" w:color="auto"/>
        <w:left w:val="none" w:sz="0" w:space="0" w:color="auto"/>
        <w:bottom w:val="none" w:sz="0" w:space="0" w:color="auto"/>
        <w:right w:val="none" w:sz="0" w:space="0" w:color="auto"/>
      </w:divBdr>
      <w:divsChild>
        <w:div w:id="1667128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19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7</Pages>
  <Words>2320</Words>
  <Characters>12765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Brachotte</dc:creator>
  <cp:keywords/>
  <dc:description/>
  <cp:lastModifiedBy>Sandrine Brachotte</cp:lastModifiedBy>
  <cp:revision>23</cp:revision>
  <dcterms:created xsi:type="dcterms:W3CDTF">2026-09-23T10:28:00Z</dcterms:created>
  <dcterms:modified xsi:type="dcterms:W3CDTF">2026-09-23T14:38:00Z</dcterms:modified>
</cp:coreProperties>
</file>