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F3CA" w14:textId="5356EF0E" w:rsidR="00C15750" w:rsidRPr="00981A42" w:rsidRDefault="00C15750" w:rsidP="00924DAE">
      <w:pPr>
        <w:jc w:val="both"/>
        <w:rPr>
          <w:rStyle w:val="Rfrencelgre"/>
          <w:rFonts w:ascii="Times New Roman" w:hAnsi="Times New Roman" w:cs="Times New Roman"/>
          <w:color w:val="auto"/>
          <w:sz w:val="24"/>
          <w:szCs w:val="24"/>
          <w:lang w:val="fr-BE"/>
        </w:rPr>
      </w:pPr>
      <w:r w:rsidRPr="00C15750">
        <w:rPr>
          <w:rStyle w:val="Rfrencelgre"/>
          <w:sz w:val="32"/>
          <w:szCs w:val="32"/>
          <w:lang w:val="fr-BE"/>
        </w:rPr>
        <w:t xml:space="preserve">Séance </w:t>
      </w:r>
      <w:r w:rsidR="00924DAE">
        <w:rPr>
          <w:rStyle w:val="Rfrencelgre"/>
          <w:sz w:val="32"/>
          <w:szCs w:val="32"/>
          <w:lang w:val="fr-BE"/>
        </w:rPr>
        <w:t xml:space="preserve">4 </w:t>
      </w:r>
      <w:r w:rsidRPr="00C15750">
        <w:rPr>
          <w:rStyle w:val="Rfrencelgre"/>
          <w:sz w:val="32"/>
          <w:szCs w:val="32"/>
          <w:lang w:val="fr-BE"/>
        </w:rPr>
        <w:t xml:space="preserve">– </w:t>
      </w:r>
      <w:r w:rsidR="00924DAE" w:rsidRPr="00924DAE">
        <w:rPr>
          <w:smallCaps/>
          <w:color w:val="5A5A5A" w:themeColor="text1" w:themeTint="A5"/>
          <w:sz w:val="32"/>
          <w:szCs w:val="32"/>
          <w:lang w:val="fr-BE"/>
        </w:rPr>
        <w:t>Le droit comme un ordre neutre (Théorie juridique moderne) : Méthodologie juridique et rôle de l'avocat</w:t>
      </w:r>
    </w:p>
    <w:p w14:paraId="688675E6" w14:textId="77777777" w:rsidR="00CF5B1D" w:rsidRPr="00CF5B1D" w:rsidRDefault="00CF5B1D" w:rsidP="00CF5B1D">
      <w:pPr>
        <w:jc w:val="both"/>
        <w:rPr>
          <w:rFonts w:ascii="Times New Roman" w:hAnsi="Times New Roman" w:cs="Times New Roman"/>
          <w:sz w:val="24"/>
          <w:szCs w:val="24"/>
          <w:lang w:val="fr-BE"/>
        </w:rPr>
      </w:pPr>
      <w:r w:rsidRPr="00CF5B1D">
        <w:rPr>
          <w:rFonts w:ascii="Times New Roman" w:hAnsi="Times New Roman" w:cs="Times New Roman"/>
          <w:sz w:val="24"/>
          <w:szCs w:val="24"/>
          <w:u w:val="single"/>
          <w:lang w:val="fr-BE"/>
        </w:rPr>
        <w:t xml:space="preserve">Rappel : </w:t>
      </w:r>
      <w:r w:rsidRPr="00CF5B1D">
        <w:rPr>
          <w:rFonts w:ascii="Times New Roman" w:hAnsi="Times New Roman" w:cs="Times New Roman"/>
          <w:sz w:val="24"/>
          <w:szCs w:val="24"/>
          <w:lang w:val="fr-BE"/>
        </w:rPr>
        <w:t>Droit comme Ordre Neutre (« L'Ordre Juridique ») = Théorisation Conventionnelle du Droit</w:t>
      </w:r>
    </w:p>
    <w:p w14:paraId="0965E91A" w14:textId="77777777" w:rsidR="00CF5B1D" w:rsidRPr="00CF5B1D" w:rsidRDefault="00000000" w:rsidP="00CF5B1D">
      <w:pPr>
        <w:numPr>
          <w:ilvl w:val="0"/>
          <w:numId w:val="29"/>
        </w:num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t>Cela inclut une hypothèse d'objectivité et de neutralité (qui légitime le droit) (Session 2) et l'image d'un système clos, complet et hiérarchiquement ordonné (qui rend le droit efficace) (Session 3) = deux faces d'une même pièce.</w:t>
      </w:r>
    </w:p>
    <w:p w14:paraId="5ACDA40B" w14:textId="4B9940AF" w:rsidR="00B76332" w:rsidRPr="00CF5B1D" w:rsidRDefault="00000000" w:rsidP="00CF5B1D">
      <w:pPr>
        <w:numPr>
          <w:ilvl w:val="0"/>
          <w:numId w:val="29"/>
        </w:num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t xml:space="preserve">Cela a également des implications pour la recherche juridique </w:t>
      </w:r>
      <w:r w:rsidRPr="00CF5B1D">
        <w:rPr>
          <w:rFonts w:ascii="Times New Roman" w:hAnsi="Times New Roman" w:cs="Times New Roman"/>
          <w:b/>
          <w:bCs/>
          <w:sz w:val="24"/>
          <w:szCs w:val="24"/>
          <w:lang w:val="fr-BE"/>
        </w:rPr>
        <w:t>(I)</w:t>
      </w:r>
      <w:r w:rsidRPr="00CF5B1D">
        <w:rPr>
          <w:rFonts w:ascii="Times New Roman" w:hAnsi="Times New Roman" w:cs="Times New Roman"/>
          <w:sz w:val="24"/>
          <w:szCs w:val="24"/>
          <w:lang w:val="fr-BE"/>
        </w:rPr>
        <w:t xml:space="preserve"> et la pratique juridique </w:t>
      </w:r>
      <w:r w:rsidRPr="00CF5B1D">
        <w:rPr>
          <w:rFonts w:ascii="Times New Roman" w:hAnsi="Times New Roman" w:cs="Times New Roman"/>
          <w:b/>
          <w:bCs/>
          <w:sz w:val="24"/>
          <w:szCs w:val="24"/>
          <w:lang w:val="fr-BE"/>
        </w:rPr>
        <w:t>(II)</w:t>
      </w:r>
      <w:r w:rsidRPr="00CF5B1D">
        <w:rPr>
          <w:rFonts w:ascii="Times New Roman" w:hAnsi="Times New Roman" w:cs="Times New Roman"/>
          <w:sz w:val="24"/>
          <w:szCs w:val="24"/>
          <w:lang w:val="fr-BE"/>
        </w:rPr>
        <w:t xml:space="preserve"> (</w:t>
      </w:r>
      <w:r w:rsidRPr="00CF5B1D">
        <w:rPr>
          <w:rFonts w:ascii="Times New Roman" w:hAnsi="Times New Roman" w:cs="Times New Roman"/>
          <w:b/>
          <w:bCs/>
          <w:sz w:val="24"/>
          <w:szCs w:val="24"/>
          <w:lang w:val="fr-BE"/>
        </w:rPr>
        <w:t>Session 4</w:t>
      </w:r>
      <w:r w:rsidRPr="00CF5B1D">
        <w:rPr>
          <w:rFonts w:ascii="Times New Roman" w:hAnsi="Times New Roman" w:cs="Times New Roman"/>
          <w:sz w:val="24"/>
          <w:szCs w:val="24"/>
          <w:lang w:val="fr-BE"/>
        </w:rPr>
        <w:t>).</w:t>
      </w:r>
    </w:p>
    <w:p w14:paraId="1E1B2D03" w14:textId="542086C5" w:rsidR="00B76332" w:rsidRDefault="00000000" w:rsidP="00CF5B1D">
      <w:pPr>
        <w:numPr>
          <w:ilvl w:val="0"/>
          <w:numId w:val="30"/>
        </w:numPr>
        <w:jc w:val="both"/>
        <w:rPr>
          <w:rFonts w:ascii="Times New Roman" w:hAnsi="Times New Roman" w:cs="Times New Roman"/>
          <w:b/>
          <w:bCs/>
          <w:sz w:val="24"/>
          <w:szCs w:val="24"/>
          <w:lang w:val="fr-BE"/>
        </w:rPr>
      </w:pPr>
      <w:r w:rsidRPr="00CF5B1D">
        <w:rPr>
          <w:rFonts w:ascii="Times New Roman" w:hAnsi="Times New Roman" w:cs="Times New Roman"/>
          <w:b/>
          <w:bCs/>
          <w:sz w:val="24"/>
          <w:szCs w:val="24"/>
          <w:lang w:val="fr-BE"/>
        </w:rPr>
        <w:t xml:space="preserve">Recherche </w:t>
      </w:r>
      <w:r w:rsidR="006C46E5">
        <w:rPr>
          <w:rFonts w:ascii="Times New Roman" w:hAnsi="Times New Roman" w:cs="Times New Roman"/>
          <w:b/>
          <w:bCs/>
          <w:sz w:val="24"/>
          <w:szCs w:val="24"/>
          <w:lang w:val="fr-BE"/>
        </w:rPr>
        <w:t>j</w:t>
      </w:r>
      <w:r w:rsidRPr="00CF5B1D">
        <w:rPr>
          <w:rFonts w:ascii="Times New Roman" w:hAnsi="Times New Roman" w:cs="Times New Roman"/>
          <w:b/>
          <w:bCs/>
          <w:sz w:val="24"/>
          <w:szCs w:val="24"/>
          <w:lang w:val="fr-BE"/>
        </w:rPr>
        <w:t xml:space="preserve">uridique </w:t>
      </w:r>
      <w:r w:rsidR="006C46E5">
        <w:rPr>
          <w:rFonts w:ascii="Times New Roman" w:hAnsi="Times New Roman" w:cs="Times New Roman"/>
          <w:b/>
          <w:bCs/>
          <w:sz w:val="24"/>
          <w:szCs w:val="24"/>
          <w:lang w:val="fr-BE"/>
        </w:rPr>
        <w:t>c</w:t>
      </w:r>
      <w:r w:rsidRPr="00CF5B1D">
        <w:rPr>
          <w:rFonts w:ascii="Times New Roman" w:hAnsi="Times New Roman" w:cs="Times New Roman"/>
          <w:b/>
          <w:bCs/>
          <w:sz w:val="24"/>
          <w:szCs w:val="24"/>
          <w:lang w:val="fr-BE"/>
        </w:rPr>
        <w:t xml:space="preserve">onventionnelle : </w:t>
      </w:r>
      <w:r w:rsidR="006C46E5">
        <w:rPr>
          <w:rFonts w:ascii="Times New Roman" w:hAnsi="Times New Roman" w:cs="Times New Roman"/>
          <w:b/>
          <w:bCs/>
          <w:sz w:val="24"/>
          <w:szCs w:val="24"/>
          <w:lang w:val="fr-BE"/>
        </w:rPr>
        <w:t>m</w:t>
      </w:r>
      <w:r w:rsidRPr="00CF5B1D">
        <w:rPr>
          <w:rFonts w:ascii="Times New Roman" w:hAnsi="Times New Roman" w:cs="Times New Roman"/>
          <w:b/>
          <w:bCs/>
          <w:sz w:val="24"/>
          <w:szCs w:val="24"/>
          <w:lang w:val="fr-BE"/>
        </w:rPr>
        <w:t xml:space="preserve">éthodologie </w:t>
      </w:r>
      <w:r w:rsidR="006C46E5">
        <w:rPr>
          <w:rFonts w:ascii="Times New Roman" w:hAnsi="Times New Roman" w:cs="Times New Roman"/>
          <w:b/>
          <w:bCs/>
          <w:sz w:val="24"/>
          <w:szCs w:val="24"/>
          <w:lang w:val="fr-BE"/>
        </w:rPr>
        <w:t>j</w:t>
      </w:r>
      <w:r w:rsidRPr="00CF5B1D">
        <w:rPr>
          <w:rFonts w:ascii="Times New Roman" w:hAnsi="Times New Roman" w:cs="Times New Roman"/>
          <w:b/>
          <w:bCs/>
          <w:sz w:val="24"/>
          <w:szCs w:val="24"/>
          <w:lang w:val="fr-BE"/>
        </w:rPr>
        <w:t xml:space="preserve">uridique, </w:t>
      </w:r>
      <w:r w:rsidR="006C46E5">
        <w:rPr>
          <w:rFonts w:ascii="Times New Roman" w:hAnsi="Times New Roman" w:cs="Times New Roman"/>
          <w:b/>
          <w:bCs/>
          <w:sz w:val="24"/>
          <w:szCs w:val="24"/>
          <w:lang w:val="fr-BE"/>
        </w:rPr>
        <w:t>m</w:t>
      </w:r>
      <w:r w:rsidRPr="00CF5B1D">
        <w:rPr>
          <w:rFonts w:ascii="Times New Roman" w:hAnsi="Times New Roman" w:cs="Times New Roman"/>
          <w:b/>
          <w:bCs/>
          <w:sz w:val="24"/>
          <w:szCs w:val="24"/>
          <w:lang w:val="fr-BE"/>
        </w:rPr>
        <w:t xml:space="preserve">éthodes </w:t>
      </w:r>
      <w:r w:rsidR="006C46E5">
        <w:rPr>
          <w:rFonts w:ascii="Times New Roman" w:hAnsi="Times New Roman" w:cs="Times New Roman"/>
          <w:b/>
          <w:bCs/>
          <w:sz w:val="24"/>
          <w:szCs w:val="24"/>
          <w:lang w:val="fr-BE"/>
        </w:rPr>
        <w:t>j</w:t>
      </w:r>
      <w:r w:rsidRPr="00CF5B1D">
        <w:rPr>
          <w:rFonts w:ascii="Times New Roman" w:hAnsi="Times New Roman" w:cs="Times New Roman"/>
          <w:b/>
          <w:bCs/>
          <w:sz w:val="24"/>
          <w:szCs w:val="24"/>
          <w:lang w:val="fr-BE"/>
        </w:rPr>
        <w:t xml:space="preserve">uridiques et « </w:t>
      </w:r>
      <w:r w:rsidR="006C46E5">
        <w:rPr>
          <w:rFonts w:ascii="Times New Roman" w:hAnsi="Times New Roman" w:cs="Times New Roman"/>
          <w:b/>
          <w:bCs/>
          <w:sz w:val="24"/>
          <w:szCs w:val="24"/>
          <w:lang w:val="fr-BE"/>
        </w:rPr>
        <w:t>d</w:t>
      </w:r>
      <w:r w:rsidRPr="00CF5B1D">
        <w:rPr>
          <w:rFonts w:ascii="Times New Roman" w:hAnsi="Times New Roman" w:cs="Times New Roman"/>
          <w:b/>
          <w:bCs/>
          <w:sz w:val="24"/>
          <w:szCs w:val="24"/>
          <w:lang w:val="fr-BE"/>
        </w:rPr>
        <w:t xml:space="preserve">octrine </w:t>
      </w:r>
      <w:r w:rsidR="006C46E5">
        <w:rPr>
          <w:rFonts w:ascii="Times New Roman" w:hAnsi="Times New Roman" w:cs="Times New Roman"/>
          <w:b/>
          <w:bCs/>
          <w:sz w:val="24"/>
          <w:szCs w:val="24"/>
          <w:lang w:val="fr-BE"/>
        </w:rPr>
        <w:t>j</w:t>
      </w:r>
      <w:r w:rsidRPr="00CF5B1D">
        <w:rPr>
          <w:rFonts w:ascii="Times New Roman" w:hAnsi="Times New Roman" w:cs="Times New Roman"/>
          <w:b/>
          <w:bCs/>
          <w:sz w:val="24"/>
          <w:szCs w:val="24"/>
          <w:lang w:val="fr-BE"/>
        </w:rPr>
        <w:t>uridique »</w:t>
      </w:r>
    </w:p>
    <w:p w14:paraId="2B1A7064" w14:textId="77777777" w:rsidR="00CF5B1D" w:rsidRDefault="00CF5B1D" w:rsidP="00CF5B1D">
      <w:pPr>
        <w:pStyle w:val="Paragraphedeliste"/>
        <w:numPr>
          <w:ilvl w:val="0"/>
          <w:numId w:val="31"/>
        </w:numPr>
        <w:jc w:val="both"/>
        <w:rPr>
          <w:rFonts w:ascii="Times New Roman" w:hAnsi="Times New Roman" w:cs="Times New Roman"/>
          <w:sz w:val="24"/>
          <w:szCs w:val="24"/>
          <w:lang w:val="fr-BE"/>
        </w:rPr>
      </w:pPr>
      <w:r w:rsidRPr="00CF5B1D">
        <w:rPr>
          <w:rFonts w:ascii="Times New Roman" w:hAnsi="Times New Roman" w:cs="Times New Roman"/>
          <w:sz w:val="24"/>
          <w:szCs w:val="24"/>
          <w:u w:val="single"/>
          <w:lang w:val="fr-BE"/>
        </w:rPr>
        <w:t>Méthodologie Juridique</w:t>
      </w:r>
      <w:r w:rsidRPr="00CF5B1D">
        <w:rPr>
          <w:rFonts w:ascii="Times New Roman" w:hAnsi="Times New Roman" w:cs="Times New Roman"/>
          <w:sz w:val="24"/>
          <w:szCs w:val="24"/>
          <w:lang w:val="fr-BE"/>
        </w:rPr>
        <w:t xml:space="preserve"> = Production de « Connaissances Juridiques » </w:t>
      </w:r>
    </w:p>
    <w:p w14:paraId="4CDF2E6A" w14:textId="0976D0F2" w:rsidR="00CF5B1D" w:rsidRPr="00CF5B1D" w:rsidRDefault="00CF5B1D" w:rsidP="00CF5B1D">
      <w:pPr>
        <w:jc w:val="both"/>
        <w:rPr>
          <w:rFonts w:ascii="Times New Roman" w:hAnsi="Times New Roman" w:cs="Times New Roman"/>
          <w:sz w:val="24"/>
          <w:szCs w:val="24"/>
          <w:lang w:val="fr-BE"/>
        </w:rPr>
      </w:pPr>
      <w:r w:rsidRPr="00CF5B1D">
        <w:rPr>
          <w:rFonts w:ascii="Cambria Math" w:hAnsi="Cambria Math" w:cs="Cambria Math"/>
          <w:sz w:val="24"/>
          <w:szCs w:val="24"/>
          <w:lang w:val="fr-BE"/>
        </w:rPr>
        <w:t>⟷</w:t>
      </w:r>
      <w:r w:rsidRPr="00CF5B1D">
        <w:rPr>
          <w:rFonts w:ascii="Times New Roman" w:hAnsi="Times New Roman" w:cs="Times New Roman"/>
          <w:sz w:val="24"/>
          <w:szCs w:val="24"/>
          <w:lang w:val="fr-BE"/>
        </w:rPr>
        <w:t xml:space="preserve"> Théorie juridique moderne et les sources de droit qui </w:t>
      </w:r>
      <w:r>
        <w:rPr>
          <w:rFonts w:ascii="Times New Roman" w:hAnsi="Times New Roman" w:cs="Times New Roman"/>
          <w:sz w:val="24"/>
          <w:szCs w:val="24"/>
          <w:lang w:val="fr-BE"/>
        </w:rPr>
        <w:t>sont fondées sur elle</w:t>
      </w:r>
      <w:r w:rsidRPr="00CF5B1D">
        <w:rPr>
          <w:rFonts w:ascii="Times New Roman" w:hAnsi="Times New Roman" w:cs="Times New Roman"/>
          <w:sz w:val="24"/>
          <w:szCs w:val="24"/>
          <w:lang w:val="fr-BE"/>
        </w:rPr>
        <w:t>.</w:t>
      </w:r>
    </w:p>
    <w:p w14:paraId="5DBD7810" w14:textId="6C1384C1" w:rsidR="00275F1A" w:rsidRPr="00275F1A" w:rsidRDefault="00275F1A" w:rsidP="00275F1A">
      <w:pPr>
        <w:jc w:val="both"/>
        <w:rPr>
          <w:rFonts w:ascii="Times New Roman" w:hAnsi="Times New Roman" w:cs="Times New Roman"/>
          <w:sz w:val="24"/>
          <w:szCs w:val="24"/>
          <w:lang w:val="fr-BE"/>
        </w:rPr>
      </w:pPr>
      <w:r w:rsidRPr="00275F1A">
        <w:rPr>
          <w:rFonts w:ascii="Times New Roman" w:hAnsi="Times New Roman" w:cs="Times New Roman"/>
          <w:sz w:val="24"/>
          <w:szCs w:val="24"/>
          <w:lang w:val="fr-BE"/>
        </w:rPr>
        <w:t xml:space="preserve">=&gt; M. </w:t>
      </w:r>
      <w:proofErr w:type="spellStart"/>
      <w:r w:rsidRPr="00275F1A">
        <w:rPr>
          <w:rFonts w:ascii="Times New Roman" w:hAnsi="Times New Roman" w:cs="Times New Roman"/>
          <w:sz w:val="24"/>
          <w:szCs w:val="24"/>
          <w:lang w:val="fr-BE"/>
        </w:rPr>
        <w:t>Cumyn</w:t>
      </w:r>
      <w:proofErr w:type="spellEnd"/>
      <w:r w:rsidRPr="00275F1A">
        <w:rPr>
          <w:rFonts w:ascii="Times New Roman" w:hAnsi="Times New Roman" w:cs="Times New Roman"/>
          <w:sz w:val="24"/>
          <w:szCs w:val="24"/>
          <w:lang w:val="fr-BE"/>
        </w:rPr>
        <w:t xml:space="preserve"> et M. Samson, « La méthodologie juridique en quête d’identité », </w:t>
      </w:r>
      <w:r w:rsidRPr="00CF5B1D">
        <w:rPr>
          <w:rFonts w:ascii="Times New Roman" w:hAnsi="Times New Roman" w:cs="Times New Roman"/>
          <w:i/>
          <w:iCs/>
          <w:sz w:val="24"/>
          <w:szCs w:val="24"/>
          <w:lang w:val="fr-BE"/>
        </w:rPr>
        <w:t>Revue interdisciplinaire d'études juridiques</w:t>
      </w:r>
      <w:r w:rsidRPr="00275F1A">
        <w:rPr>
          <w:rFonts w:ascii="Times New Roman" w:hAnsi="Times New Roman" w:cs="Times New Roman"/>
          <w:sz w:val="24"/>
          <w:szCs w:val="24"/>
          <w:lang w:val="fr-BE"/>
        </w:rPr>
        <w:t>, 2013-12, Vol.71 (2), pp. 1-42.</w:t>
      </w:r>
    </w:p>
    <w:p w14:paraId="18DA1CFF" w14:textId="77777777" w:rsidR="00CF5B1D" w:rsidRDefault="00275F1A" w:rsidP="00CF5B1D">
      <w:pPr>
        <w:pStyle w:val="Paragraphedeliste"/>
        <w:numPr>
          <w:ilvl w:val="0"/>
          <w:numId w:val="32"/>
        </w:numPr>
        <w:jc w:val="both"/>
        <w:rPr>
          <w:rFonts w:ascii="Times New Roman" w:hAnsi="Times New Roman" w:cs="Times New Roman"/>
          <w:sz w:val="24"/>
          <w:szCs w:val="24"/>
          <w:lang w:val="fr-BE"/>
        </w:rPr>
      </w:pPr>
      <w:r w:rsidRPr="00CF5B1D">
        <w:rPr>
          <w:rFonts w:ascii="Times New Roman" w:hAnsi="Times New Roman" w:cs="Times New Roman"/>
          <w:b/>
          <w:bCs/>
          <w:sz w:val="24"/>
          <w:szCs w:val="24"/>
          <w:lang w:val="fr-BE"/>
        </w:rPr>
        <w:t>Méthode empirique logique</w:t>
      </w:r>
      <w:r w:rsidRPr="00CF5B1D">
        <w:rPr>
          <w:rFonts w:ascii="Times New Roman" w:hAnsi="Times New Roman" w:cs="Times New Roman"/>
          <w:sz w:val="24"/>
          <w:szCs w:val="24"/>
          <w:lang w:val="fr-BE"/>
        </w:rPr>
        <w:t xml:space="preserve"> </w:t>
      </w:r>
    </w:p>
    <w:p w14:paraId="1F6ADE61" w14:textId="5509F3E7" w:rsidR="00CF5B1D" w:rsidRPr="00CF5B1D" w:rsidRDefault="00CF5B1D" w:rsidP="00CF5B1D">
      <w:p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275F1A" w:rsidRPr="00CF5B1D">
        <w:rPr>
          <w:rFonts w:ascii="Times New Roman" w:hAnsi="Times New Roman" w:cs="Times New Roman"/>
          <w:sz w:val="24"/>
          <w:szCs w:val="24"/>
          <w:u w:val="single"/>
          <w:lang w:val="fr-BE"/>
        </w:rPr>
        <w:t>Observation objective</w:t>
      </w:r>
      <w:r w:rsidR="00275F1A" w:rsidRPr="00CF5B1D">
        <w:rPr>
          <w:rFonts w:ascii="Times New Roman" w:hAnsi="Times New Roman" w:cs="Times New Roman"/>
          <w:sz w:val="24"/>
          <w:szCs w:val="24"/>
          <w:lang w:val="fr-BE"/>
        </w:rPr>
        <w:t xml:space="preserve"> de la réalité, dans un mode scientifique, à partir de laquelle les connaissances sont obtenues via la </w:t>
      </w:r>
      <w:r w:rsidR="00275F1A" w:rsidRPr="00CF5B1D">
        <w:rPr>
          <w:rFonts w:ascii="Times New Roman" w:hAnsi="Times New Roman" w:cs="Times New Roman"/>
          <w:sz w:val="24"/>
          <w:szCs w:val="24"/>
          <w:u w:val="single"/>
          <w:lang w:val="fr-BE"/>
        </w:rPr>
        <w:t>logique formelle</w:t>
      </w:r>
      <w:r w:rsidR="00275F1A" w:rsidRPr="00CF5B1D">
        <w:rPr>
          <w:rFonts w:ascii="Times New Roman" w:hAnsi="Times New Roman" w:cs="Times New Roman"/>
          <w:sz w:val="24"/>
          <w:szCs w:val="24"/>
          <w:lang w:val="fr-BE"/>
        </w:rPr>
        <w:t xml:space="preserve">, </w:t>
      </w:r>
      <w:r>
        <w:rPr>
          <w:rFonts w:ascii="Times New Roman" w:hAnsi="Times New Roman" w:cs="Times New Roman"/>
          <w:sz w:val="24"/>
          <w:szCs w:val="24"/>
          <w:lang w:val="fr-BE"/>
        </w:rPr>
        <w:t>selon les</w:t>
      </w:r>
      <w:r w:rsidR="00275F1A" w:rsidRPr="00CF5B1D">
        <w:rPr>
          <w:rFonts w:ascii="Times New Roman" w:hAnsi="Times New Roman" w:cs="Times New Roman"/>
          <w:sz w:val="24"/>
          <w:szCs w:val="24"/>
          <w:lang w:val="fr-BE"/>
        </w:rPr>
        <w:t xml:space="preserve"> mathématique</w:t>
      </w:r>
      <w:r>
        <w:rPr>
          <w:rFonts w:ascii="Times New Roman" w:hAnsi="Times New Roman" w:cs="Times New Roman"/>
          <w:sz w:val="24"/>
          <w:szCs w:val="24"/>
          <w:lang w:val="fr-BE"/>
        </w:rPr>
        <w:t>s</w:t>
      </w:r>
      <w:r w:rsidR="00275F1A" w:rsidRPr="00CF5B1D">
        <w:rPr>
          <w:rFonts w:ascii="Times New Roman" w:hAnsi="Times New Roman" w:cs="Times New Roman"/>
          <w:sz w:val="24"/>
          <w:szCs w:val="24"/>
          <w:lang w:val="fr-BE"/>
        </w:rPr>
        <w:t xml:space="preserve">. </w:t>
      </w:r>
    </w:p>
    <w:p w14:paraId="04E85D9C" w14:textId="6C59D629" w:rsidR="00CF5B1D" w:rsidRDefault="00275F1A" w:rsidP="00CF5B1D">
      <w:pPr>
        <w:pStyle w:val="Paragraphedeliste"/>
        <w:numPr>
          <w:ilvl w:val="0"/>
          <w:numId w:val="33"/>
        </w:num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t xml:space="preserve">Les règles juridiques sont les données, et le chercheur </w:t>
      </w:r>
      <w:r w:rsidR="00CF5B1D">
        <w:rPr>
          <w:rFonts w:ascii="Times New Roman" w:hAnsi="Times New Roman" w:cs="Times New Roman"/>
          <w:sz w:val="24"/>
          <w:szCs w:val="24"/>
          <w:lang w:val="fr-BE"/>
        </w:rPr>
        <w:t>juriste</w:t>
      </w:r>
      <w:r w:rsidRPr="00CF5B1D">
        <w:rPr>
          <w:rFonts w:ascii="Times New Roman" w:hAnsi="Times New Roman" w:cs="Times New Roman"/>
          <w:sz w:val="24"/>
          <w:szCs w:val="24"/>
          <w:lang w:val="fr-BE"/>
        </w:rPr>
        <w:t xml:space="preserve"> s'appuie dessus, en utilisant des arguments juridiques, pour arriver à des décisions juridiques ou à de nouvelles règles</w:t>
      </w:r>
      <w:r w:rsidR="00CF5B1D">
        <w:rPr>
          <w:rFonts w:ascii="Times New Roman" w:hAnsi="Times New Roman" w:cs="Times New Roman"/>
          <w:sz w:val="24"/>
          <w:szCs w:val="24"/>
          <w:lang w:val="fr-BE"/>
        </w:rPr>
        <w:t>.</w:t>
      </w:r>
      <w:r w:rsidRPr="00CF5B1D">
        <w:rPr>
          <w:rFonts w:ascii="Times New Roman" w:hAnsi="Times New Roman" w:cs="Times New Roman"/>
          <w:sz w:val="24"/>
          <w:szCs w:val="24"/>
          <w:lang w:val="fr-BE"/>
        </w:rPr>
        <w:t xml:space="preserve"> </w:t>
      </w:r>
    </w:p>
    <w:p w14:paraId="1B96341C" w14:textId="77777777" w:rsidR="00CF5B1D" w:rsidRDefault="00CF5B1D" w:rsidP="00CF5B1D">
      <w:pPr>
        <w:pStyle w:val="Paragraphedeliste"/>
        <w:jc w:val="both"/>
        <w:rPr>
          <w:rFonts w:ascii="Times New Roman" w:hAnsi="Times New Roman" w:cs="Times New Roman"/>
          <w:sz w:val="24"/>
          <w:szCs w:val="24"/>
          <w:lang w:val="fr-BE"/>
        </w:rPr>
      </w:pPr>
    </w:p>
    <w:p w14:paraId="1B280317" w14:textId="11F20552" w:rsidR="00CF5B1D" w:rsidRDefault="00275F1A" w:rsidP="00CF5B1D">
      <w:pPr>
        <w:pStyle w:val="Paragraphedeliste"/>
        <w:jc w:val="both"/>
        <w:rPr>
          <w:rFonts w:ascii="Times New Roman" w:hAnsi="Times New Roman" w:cs="Times New Roman"/>
          <w:sz w:val="24"/>
          <w:szCs w:val="24"/>
          <w:lang w:val="fr-BE"/>
        </w:rPr>
      </w:pPr>
      <w:r w:rsidRPr="00CF5B1D">
        <w:rPr>
          <w:rFonts w:ascii="Cambria Math" w:hAnsi="Cambria Math" w:cs="Cambria Math"/>
          <w:sz w:val="24"/>
          <w:szCs w:val="24"/>
          <w:lang w:val="en-US"/>
        </w:rPr>
        <w:t>⟷</w:t>
      </w:r>
      <w:r w:rsidRPr="00CF5B1D">
        <w:rPr>
          <w:rFonts w:ascii="Times New Roman" w:hAnsi="Times New Roman" w:cs="Times New Roman"/>
          <w:sz w:val="24"/>
          <w:szCs w:val="24"/>
          <w:lang w:val="fr-BE"/>
        </w:rPr>
        <w:t xml:space="preserve"> Le positivisme est supposé comme la théorie juridique valide (donc les connaissances juridiques produites n'impliquent pas</w:t>
      </w:r>
      <w:r w:rsidR="00CF5B1D">
        <w:rPr>
          <w:rFonts w:ascii="Times New Roman" w:hAnsi="Times New Roman" w:cs="Times New Roman"/>
          <w:sz w:val="24"/>
          <w:szCs w:val="24"/>
          <w:lang w:val="fr-BE"/>
        </w:rPr>
        <w:t xml:space="preserve"> une réflexion sur</w:t>
      </w:r>
      <w:r w:rsidRPr="00CF5B1D">
        <w:rPr>
          <w:rFonts w:ascii="Times New Roman" w:hAnsi="Times New Roman" w:cs="Times New Roman"/>
          <w:sz w:val="24"/>
          <w:szCs w:val="24"/>
          <w:lang w:val="fr-BE"/>
        </w:rPr>
        <w:t xml:space="preserve"> </w:t>
      </w:r>
      <w:r w:rsidR="00CF5B1D">
        <w:rPr>
          <w:rFonts w:ascii="Times New Roman" w:hAnsi="Times New Roman" w:cs="Times New Roman"/>
          <w:sz w:val="24"/>
          <w:szCs w:val="24"/>
          <w:lang w:val="fr-BE"/>
        </w:rPr>
        <w:t>la</w:t>
      </w:r>
      <w:r w:rsidRPr="00CF5B1D">
        <w:rPr>
          <w:rFonts w:ascii="Times New Roman" w:hAnsi="Times New Roman" w:cs="Times New Roman"/>
          <w:sz w:val="24"/>
          <w:szCs w:val="24"/>
          <w:lang w:val="fr-BE"/>
        </w:rPr>
        <w:t xml:space="preserve"> théorie juridique) </w:t>
      </w:r>
    </w:p>
    <w:p w14:paraId="396623FB" w14:textId="77777777" w:rsidR="00CF5B1D" w:rsidRDefault="00CF5B1D" w:rsidP="00CF5B1D">
      <w:pPr>
        <w:pStyle w:val="Paragraphedeliste"/>
        <w:jc w:val="both"/>
        <w:rPr>
          <w:rFonts w:ascii="Times New Roman" w:hAnsi="Times New Roman" w:cs="Times New Roman"/>
          <w:sz w:val="24"/>
          <w:szCs w:val="24"/>
          <w:lang w:val="fr-BE"/>
        </w:rPr>
      </w:pPr>
    </w:p>
    <w:p w14:paraId="36A9F03D" w14:textId="0CC2DE3A" w:rsidR="00275F1A" w:rsidRDefault="00275F1A" w:rsidP="00CF5B1D">
      <w:pPr>
        <w:pStyle w:val="Paragraphedeliste"/>
        <w:jc w:val="both"/>
        <w:rPr>
          <w:rFonts w:ascii="Times New Roman" w:hAnsi="Times New Roman" w:cs="Times New Roman"/>
          <w:sz w:val="24"/>
          <w:szCs w:val="24"/>
          <w:lang w:val="fr-BE"/>
        </w:rPr>
      </w:pPr>
      <w:r w:rsidRPr="00CF5B1D">
        <w:rPr>
          <w:rFonts w:ascii="Cambria Math" w:hAnsi="Cambria Math" w:cs="Cambria Math"/>
          <w:sz w:val="24"/>
          <w:szCs w:val="24"/>
          <w:lang w:val="en-US"/>
        </w:rPr>
        <w:t>⟷</w:t>
      </w:r>
      <w:r w:rsidRPr="00CF5B1D">
        <w:rPr>
          <w:rFonts w:ascii="Times New Roman" w:hAnsi="Times New Roman" w:cs="Times New Roman"/>
          <w:sz w:val="24"/>
          <w:szCs w:val="24"/>
          <w:lang w:val="fr-BE"/>
        </w:rPr>
        <w:t xml:space="preserve"> Méthodologie juridique = méthodes juridiques.</w:t>
      </w:r>
    </w:p>
    <w:p w14:paraId="01E3560C" w14:textId="77777777" w:rsidR="00CF5B1D" w:rsidRPr="00275F1A" w:rsidRDefault="00CF5B1D" w:rsidP="00CF5B1D">
      <w:pPr>
        <w:pStyle w:val="Paragraphedeliste"/>
        <w:jc w:val="both"/>
        <w:rPr>
          <w:rFonts w:ascii="Times New Roman" w:hAnsi="Times New Roman" w:cs="Times New Roman"/>
          <w:sz w:val="24"/>
          <w:szCs w:val="24"/>
          <w:lang w:val="fr-BE"/>
        </w:rPr>
      </w:pPr>
    </w:p>
    <w:p w14:paraId="524C13D4" w14:textId="77777777" w:rsidR="00CF5B1D" w:rsidRDefault="00275F1A" w:rsidP="00CF5B1D">
      <w:pPr>
        <w:pStyle w:val="Paragraphedeliste"/>
        <w:numPr>
          <w:ilvl w:val="0"/>
          <w:numId w:val="32"/>
        </w:numPr>
        <w:jc w:val="both"/>
        <w:rPr>
          <w:rFonts w:ascii="Times New Roman" w:hAnsi="Times New Roman" w:cs="Times New Roman"/>
          <w:sz w:val="24"/>
          <w:szCs w:val="24"/>
          <w:lang w:val="fr-BE"/>
        </w:rPr>
      </w:pPr>
      <w:r w:rsidRPr="00CF5B1D">
        <w:rPr>
          <w:rFonts w:ascii="Times New Roman" w:hAnsi="Times New Roman" w:cs="Times New Roman"/>
          <w:b/>
          <w:bCs/>
          <w:sz w:val="24"/>
          <w:szCs w:val="24"/>
          <w:lang w:val="fr-BE"/>
        </w:rPr>
        <w:t>Herméneutique</w:t>
      </w:r>
      <w:r w:rsidRPr="00CF5B1D">
        <w:rPr>
          <w:rFonts w:ascii="Times New Roman" w:hAnsi="Times New Roman" w:cs="Times New Roman"/>
          <w:sz w:val="24"/>
          <w:szCs w:val="24"/>
          <w:lang w:val="fr-BE"/>
        </w:rPr>
        <w:t xml:space="preserve"> (Courants interprétatifs et constructivistes). </w:t>
      </w:r>
    </w:p>
    <w:p w14:paraId="593C17CE" w14:textId="77777777" w:rsidR="00CF5B1D" w:rsidRDefault="00CF5B1D" w:rsidP="00CF5B1D">
      <w:p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275F1A" w:rsidRPr="00CF5B1D">
        <w:rPr>
          <w:rFonts w:ascii="Times New Roman" w:hAnsi="Times New Roman" w:cs="Times New Roman"/>
          <w:sz w:val="24"/>
          <w:szCs w:val="24"/>
          <w:lang w:val="fr-BE"/>
        </w:rPr>
        <w:t xml:space="preserve">Le chercheur interprète toujours </w:t>
      </w:r>
      <w:r>
        <w:rPr>
          <w:rFonts w:ascii="Times New Roman" w:hAnsi="Times New Roman" w:cs="Times New Roman"/>
          <w:sz w:val="24"/>
          <w:szCs w:val="24"/>
          <w:lang w:val="fr-BE"/>
        </w:rPr>
        <w:t>ce qu’il observe.</w:t>
      </w:r>
    </w:p>
    <w:p w14:paraId="0F8A9315" w14:textId="77777777" w:rsidR="00CF5B1D" w:rsidRDefault="00CF5B1D" w:rsidP="00CF5B1D">
      <w:p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275F1A" w:rsidRPr="00CF5B1D">
        <w:rPr>
          <w:rFonts w:ascii="Times New Roman" w:hAnsi="Times New Roman" w:cs="Times New Roman"/>
          <w:sz w:val="24"/>
          <w:szCs w:val="24"/>
          <w:lang w:val="fr-BE"/>
        </w:rPr>
        <w:t xml:space="preserve">Plusieurs approches pour </w:t>
      </w:r>
      <w:r>
        <w:rPr>
          <w:rFonts w:ascii="Times New Roman" w:hAnsi="Times New Roman" w:cs="Times New Roman"/>
          <w:sz w:val="24"/>
          <w:szCs w:val="24"/>
          <w:lang w:val="fr-BE"/>
        </w:rPr>
        <w:t>concevoir</w:t>
      </w:r>
      <w:r w:rsidR="00275F1A" w:rsidRPr="00CF5B1D">
        <w:rPr>
          <w:rFonts w:ascii="Times New Roman" w:hAnsi="Times New Roman" w:cs="Times New Roman"/>
          <w:sz w:val="24"/>
          <w:szCs w:val="24"/>
          <w:lang w:val="fr-BE"/>
        </w:rPr>
        <w:t xml:space="preserve"> le droit</w:t>
      </w:r>
      <w:r>
        <w:rPr>
          <w:rFonts w:ascii="Times New Roman" w:hAnsi="Times New Roman" w:cs="Times New Roman"/>
          <w:sz w:val="24"/>
          <w:szCs w:val="24"/>
          <w:lang w:val="fr-BE"/>
        </w:rPr>
        <w:t>.</w:t>
      </w:r>
    </w:p>
    <w:p w14:paraId="4E97503D" w14:textId="6A056C0B" w:rsidR="00CF5B1D" w:rsidRDefault="00275F1A" w:rsidP="00CF5B1D">
      <w:pPr>
        <w:pStyle w:val="Paragraphedeliste"/>
        <w:numPr>
          <w:ilvl w:val="0"/>
          <w:numId w:val="33"/>
        </w:num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t>Porte ouverte à l’interdisciplinarité, du moins dans le sens où les juristes étudient le droit tout en considérant les perspectives d'autres sphères sociales (par exemple, l'économie)</w:t>
      </w:r>
      <w:r w:rsidR="00CF5B1D">
        <w:rPr>
          <w:rFonts w:ascii="Times New Roman" w:hAnsi="Times New Roman" w:cs="Times New Roman"/>
          <w:sz w:val="24"/>
          <w:szCs w:val="24"/>
          <w:lang w:val="fr-BE"/>
        </w:rPr>
        <w:t>.</w:t>
      </w:r>
    </w:p>
    <w:p w14:paraId="6BF7D381" w14:textId="77777777" w:rsidR="00CF5B1D" w:rsidRPr="00CF5B1D" w:rsidRDefault="00CF5B1D" w:rsidP="00CF5B1D">
      <w:pPr>
        <w:pStyle w:val="Paragraphedeliste"/>
        <w:jc w:val="both"/>
        <w:rPr>
          <w:rFonts w:ascii="Times New Roman" w:hAnsi="Times New Roman" w:cs="Times New Roman"/>
          <w:sz w:val="24"/>
          <w:szCs w:val="24"/>
          <w:lang w:val="fr-BE"/>
        </w:rPr>
      </w:pPr>
    </w:p>
    <w:p w14:paraId="3072175F" w14:textId="4FFDB2CC" w:rsidR="00275F1A" w:rsidRPr="00CF5B1D" w:rsidRDefault="00275F1A" w:rsidP="00CF5B1D">
      <w:pPr>
        <w:pStyle w:val="Paragraphedeliste"/>
        <w:numPr>
          <w:ilvl w:val="0"/>
          <w:numId w:val="33"/>
        </w:numPr>
        <w:jc w:val="both"/>
        <w:rPr>
          <w:rFonts w:ascii="Times New Roman" w:hAnsi="Times New Roman" w:cs="Times New Roman"/>
          <w:sz w:val="24"/>
          <w:szCs w:val="24"/>
          <w:lang w:val="fr-BE"/>
        </w:rPr>
      </w:pPr>
      <w:r w:rsidRPr="00CF5B1D">
        <w:rPr>
          <w:rFonts w:ascii="Times New Roman" w:hAnsi="Times New Roman" w:cs="Times New Roman"/>
          <w:sz w:val="24"/>
          <w:szCs w:val="24"/>
          <w:lang w:val="fr-BE"/>
        </w:rPr>
        <w:t xml:space="preserve">Peut remettre en question la théorie juridique si tel est l'objectif de la recherche </w:t>
      </w:r>
      <w:r w:rsidR="00CF5B1D">
        <w:rPr>
          <w:rFonts w:ascii="Times New Roman" w:hAnsi="Times New Roman" w:cs="Times New Roman"/>
          <w:sz w:val="24"/>
          <w:szCs w:val="24"/>
          <w:lang w:val="fr-BE"/>
        </w:rPr>
        <w:t>(la méthodologie juridique ne couvre pas seulement les méthodes juridiques)</w:t>
      </w:r>
      <w:r w:rsidRPr="00CF5B1D">
        <w:rPr>
          <w:rFonts w:ascii="Times New Roman" w:hAnsi="Times New Roman" w:cs="Times New Roman"/>
          <w:sz w:val="24"/>
          <w:szCs w:val="24"/>
          <w:lang w:val="fr-BE"/>
        </w:rPr>
        <w:t>.</w:t>
      </w:r>
    </w:p>
    <w:p w14:paraId="23F76EBB" w14:textId="77777777" w:rsidR="00275F1A" w:rsidRPr="00275F1A" w:rsidRDefault="00275F1A" w:rsidP="00275F1A">
      <w:pPr>
        <w:jc w:val="both"/>
        <w:rPr>
          <w:rFonts w:ascii="Times New Roman" w:hAnsi="Times New Roman" w:cs="Times New Roman"/>
          <w:sz w:val="24"/>
          <w:szCs w:val="24"/>
          <w:lang w:val="fr-BE"/>
        </w:rPr>
      </w:pPr>
    </w:p>
    <w:p w14:paraId="57395BA7" w14:textId="77777777" w:rsidR="001301BE" w:rsidRDefault="00275F1A" w:rsidP="001301BE">
      <w:pPr>
        <w:pStyle w:val="Paragraphedeliste"/>
        <w:numPr>
          <w:ilvl w:val="0"/>
          <w:numId w:val="31"/>
        </w:numPr>
        <w:jc w:val="both"/>
        <w:rPr>
          <w:rFonts w:ascii="Times New Roman" w:hAnsi="Times New Roman" w:cs="Times New Roman"/>
          <w:sz w:val="24"/>
          <w:szCs w:val="24"/>
          <w:lang w:val="fr-BE"/>
        </w:rPr>
      </w:pPr>
      <w:r w:rsidRPr="001301BE">
        <w:rPr>
          <w:rFonts w:ascii="Times New Roman" w:hAnsi="Times New Roman" w:cs="Times New Roman"/>
          <w:sz w:val="24"/>
          <w:szCs w:val="24"/>
          <w:u w:val="single"/>
          <w:lang w:val="fr-BE"/>
        </w:rPr>
        <w:lastRenderedPageBreak/>
        <w:t>Méthodes juridiques</w:t>
      </w:r>
      <w:r w:rsidRPr="001301BE">
        <w:rPr>
          <w:rFonts w:ascii="Times New Roman" w:hAnsi="Times New Roman" w:cs="Times New Roman"/>
          <w:sz w:val="24"/>
          <w:szCs w:val="24"/>
          <w:lang w:val="fr-BE"/>
        </w:rPr>
        <w:t xml:space="preserve"> = Outils utilisés pour effectuer un raisonnement juridique (pour critiquer, créer ou appliquer des règles juridiques) </w:t>
      </w:r>
    </w:p>
    <w:p w14:paraId="11120BBD" w14:textId="77777777" w:rsidR="001301BE" w:rsidRDefault="00275F1A" w:rsidP="001301BE">
      <w:pPr>
        <w:ind w:left="360"/>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w:t>
      </w:r>
      <w:r w:rsidRPr="001301BE">
        <w:rPr>
          <w:rFonts w:ascii="Times New Roman" w:hAnsi="Times New Roman" w:cs="Times New Roman"/>
          <w:sz w:val="24"/>
          <w:szCs w:val="24"/>
          <w:highlight w:val="yellow"/>
          <w:lang w:val="fr-BE"/>
        </w:rPr>
        <w:t>Ajoutez vos propres exemples tirés du droit belge</w:t>
      </w:r>
      <w:r w:rsidRPr="001301BE">
        <w:rPr>
          <w:rFonts w:ascii="Times New Roman" w:hAnsi="Times New Roman" w:cs="Times New Roman"/>
          <w:sz w:val="24"/>
          <w:szCs w:val="24"/>
          <w:lang w:val="fr-BE"/>
        </w:rPr>
        <w:t xml:space="preserve">] </w:t>
      </w:r>
    </w:p>
    <w:p w14:paraId="7E7D1D81" w14:textId="20E1D514" w:rsidR="001301BE" w:rsidRDefault="00275F1A" w:rsidP="001301BE">
      <w:pPr>
        <w:pStyle w:val="Paragraphedeliste"/>
        <w:numPr>
          <w:ilvl w:val="0"/>
          <w:numId w:val="34"/>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Déduction (y compris le syllogisme judiciaire) </w:t>
      </w:r>
    </w:p>
    <w:p w14:paraId="6A328F83" w14:textId="77777777" w:rsidR="001301BE" w:rsidRDefault="001301BE" w:rsidP="001301BE">
      <w:pPr>
        <w:pStyle w:val="Paragraphedeliste"/>
        <w:jc w:val="both"/>
        <w:rPr>
          <w:rFonts w:ascii="Times New Roman" w:hAnsi="Times New Roman" w:cs="Times New Roman"/>
          <w:sz w:val="24"/>
          <w:szCs w:val="24"/>
          <w:lang w:val="fr-BE"/>
        </w:rPr>
      </w:pPr>
    </w:p>
    <w:p w14:paraId="30992ACE" w14:textId="706A7A0F" w:rsidR="001301BE" w:rsidRDefault="001301BE" w:rsidP="001301BE">
      <w:pPr>
        <w:pStyle w:val="Paragraphedeliste"/>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w:t>
      </w:r>
      <w:r>
        <w:rPr>
          <w:rFonts w:ascii="Times New Roman" w:hAnsi="Times New Roman" w:cs="Times New Roman"/>
          <w:sz w:val="24"/>
          <w:szCs w:val="24"/>
          <w:lang w:val="fr-BE"/>
        </w:rPr>
        <w:t>V</w:t>
      </w:r>
      <w:r w:rsidRPr="001301BE">
        <w:rPr>
          <w:rFonts w:ascii="Times New Roman" w:hAnsi="Times New Roman" w:cs="Times New Roman"/>
          <w:sz w:val="24"/>
          <w:szCs w:val="24"/>
          <w:lang w:val="fr-BE"/>
        </w:rPr>
        <w:t xml:space="preserve">oir Session 2) </w:t>
      </w:r>
    </w:p>
    <w:p w14:paraId="63E6DFAA" w14:textId="77777777" w:rsidR="001301BE" w:rsidRPr="001301BE" w:rsidRDefault="001301BE" w:rsidP="001301BE">
      <w:pPr>
        <w:pStyle w:val="Paragraphedeliste"/>
        <w:jc w:val="both"/>
        <w:rPr>
          <w:rFonts w:ascii="Times New Roman" w:hAnsi="Times New Roman" w:cs="Times New Roman"/>
          <w:sz w:val="24"/>
          <w:szCs w:val="24"/>
          <w:lang w:val="fr-BE"/>
        </w:rPr>
      </w:pPr>
    </w:p>
    <w:p w14:paraId="665FBFE4" w14:textId="6DD0EBAA" w:rsidR="00275F1A" w:rsidRPr="001301BE" w:rsidRDefault="00275F1A" w:rsidP="001301BE">
      <w:pPr>
        <w:pStyle w:val="Paragraphedeliste"/>
        <w:numPr>
          <w:ilvl w:val="0"/>
          <w:numId w:val="34"/>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Techniques d’argumentation ou d’interprétation juridiques, y compris (mais la liste n'est pas exhaustive !)</w:t>
      </w:r>
      <w:r w:rsidR="001301BE">
        <w:rPr>
          <w:rFonts w:ascii="Times New Roman" w:hAnsi="Times New Roman" w:cs="Times New Roman"/>
          <w:sz w:val="24"/>
          <w:szCs w:val="24"/>
          <w:lang w:val="fr-BE"/>
        </w:rPr>
        <w:t> :</w:t>
      </w:r>
    </w:p>
    <w:p w14:paraId="0C4FCB44" w14:textId="02EDC123" w:rsidR="00275F1A" w:rsidRPr="00275F1A" w:rsidRDefault="00275F1A" w:rsidP="00275F1A">
      <w:pPr>
        <w:jc w:val="both"/>
        <w:rPr>
          <w:rFonts w:ascii="Times New Roman" w:hAnsi="Times New Roman" w:cs="Times New Roman"/>
          <w:sz w:val="24"/>
          <w:szCs w:val="24"/>
          <w:lang w:val="fr-BE"/>
        </w:rPr>
      </w:pPr>
      <w:r w:rsidRPr="00275F1A">
        <w:rPr>
          <w:rFonts w:ascii="Times New Roman" w:hAnsi="Times New Roman" w:cs="Times New Roman"/>
          <w:sz w:val="24"/>
          <w:szCs w:val="24"/>
          <w:lang w:val="fr-BE"/>
        </w:rPr>
        <w:t>NB : Certaines de ces techniques sont également appliquées pour interpréter les clauses contractuelles… ne vous laissez pas induire en erreur !</w:t>
      </w:r>
    </w:p>
    <w:p w14:paraId="5FDEEE97" w14:textId="7617103D" w:rsidR="00275F1A" w:rsidRPr="00275F1A" w:rsidRDefault="00275F1A" w:rsidP="00275F1A">
      <w:pPr>
        <w:jc w:val="both"/>
        <w:rPr>
          <w:rFonts w:ascii="Times New Roman" w:hAnsi="Times New Roman" w:cs="Times New Roman"/>
          <w:sz w:val="24"/>
          <w:szCs w:val="24"/>
          <w:lang w:val="fr-BE"/>
        </w:rPr>
      </w:pPr>
      <w:r w:rsidRPr="00275F1A">
        <w:rPr>
          <w:rFonts w:ascii="Times New Roman" w:hAnsi="Times New Roman" w:cs="Times New Roman"/>
          <w:sz w:val="24"/>
          <w:szCs w:val="24"/>
          <w:lang w:val="fr-BE"/>
        </w:rPr>
        <w:t xml:space="preserve">S. </w:t>
      </w:r>
      <w:proofErr w:type="spellStart"/>
      <w:r w:rsidRPr="00275F1A">
        <w:rPr>
          <w:rFonts w:ascii="Times New Roman" w:hAnsi="Times New Roman" w:cs="Times New Roman"/>
          <w:sz w:val="24"/>
          <w:szCs w:val="24"/>
          <w:lang w:val="fr-BE"/>
        </w:rPr>
        <w:t>Goltzberg</w:t>
      </w:r>
      <w:proofErr w:type="spellEnd"/>
      <w:r w:rsidRPr="00275F1A">
        <w:rPr>
          <w:rFonts w:ascii="Times New Roman" w:hAnsi="Times New Roman" w:cs="Times New Roman"/>
          <w:sz w:val="24"/>
          <w:szCs w:val="24"/>
          <w:lang w:val="fr-BE"/>
        </w:rPr>
        <w:t xml:space="preserve">, </w:t>
      </w:r>
      <w:r w:rsidRPr="001301BE">
        <w:rPr>
          <w:rFonts w:ascii="Times New Roman" w:hAnsi="Times New Roman" w:cs="Times New Roman"/>
          <w:sz w:val="24"/>
          <w:szCs w:val="24"/>
          <w:u w:val="single"/>
          <w:lang w:val="fr-BE"/>
        </w:rPr>
        <w:t>L’argumentation juridique</w:t>
      </w:r>
      <w:r w:rsidRPr="00275F1A">
        <w:rPr>
          <w:rFonts w:ascii="Times New Roman" w:hAnsi="Times New Roman" w:cs="Times New Roman"/>
          <w:sz w:val="24"/>
          <w:szCs w:val="24"/>
          <w:lang w:val="fr-BE"/>
        </w:rPr>
        <w:t>, Paris, Dalloz (5e éd.), 2021 :</w:t>
      </w:r>
    </w:p>
    <w:p w14:paraId="1379FE47" w14:textId="5B9BE4E6" w:rsidR="001301BE" w:rsidRDefault="00275F1A" w:rsidP="001301BE">
      <w:pPr>
        <w:pStyle w:val="Paragraphedeliste"/>
        <w:numPr>
          <w:ilvl w:val="0"/>
          <w:numId w:val="35"/>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Définition “en intention” et “en extension”</w:t>
      </w:r>
    </w:p>
    <w:p w14:paraId="2B6B0687" w14:textId="77777777" w:rsidR="001301BE" w:rsidRPr="001301BE" w:rsidRDefault="001301BE" w:rsidP="001301BE">
      <w:pPr>
        <w:pStyle w:val="Paragraphedeliste"/>
        <w:jc w:val="both"/>
        <w:rPr>
          <w:rFonts w:ascii="Times New Roman" w:hAnsi="Times New Roman" w:cs="Times New Roman"/>
          <w:sz w:val="24"/>
          <w:szCs w:val="24"/>
          <w:lang w:val="fr-BE"/>
        </w:rPr>
      </w:pPr>
    </w:p>
    <w:p w14:paraId="72DD21FA" w14:textId="77777777" w:rsidR="001301BE" w:rsidRDefault="00275F1A" w:rsidP="001301BE">
      <w:pPr>
        <w:pStyle w:val="Paragraphedeliste"/>
        <w:numPr>
          <w:ilvl w:val="0"/>
          <w:numId w:val="36"/>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“En intention” : caractéristiques à remplir pour qu'un </w:t>
      </w:r>
      <w:r w:rsidR="001301BE">
        <w:rPr>
          <w:rFonts w:ascii="Times New Roman" w:hAnsi="Times New Roman" w:cs="Times New Roman"/>
          <w:sz w:val="24"/>
          <w:szCs w:val="24"/>
          <w:lang w:val="fr-BE"/>
        </w:rPr>
        <w:t>objet</w:t>
      </w:r>
      <w:r w:rsidRPr="001301BE">
        <w:rPr>
          <w:rFonts w:ascii="Times New Roman" w:hAnsi="Times New Roman" w:cs="Times New Roman"/>
          <w:sz w:val="24"/>
          <w:szCs w:val="24"/>
          <w:lang w:val="fr-BE"/>
        </w:rPr>
        <w:t xml:space="preserve"> entre dans la définition </w:t>
      </w:r>
    </w:p>
    <w:p w14:paraId="06E9BFE2" w14:textId="77777777" w:rsidR="001301BE" w:rsidRDefault="001301BE" w:rsidP="001301BE">
      <w:pPr>
        <w:pStyle w:val="Paragraphedeliste"/>
        <w:ind w:left="420"/>
        <w:jc w:val="both"/>
        <w:rPr>
          <w:rFonts w:ascii="Times New Roman" w:hAnsi="Times New Roman" w:cs="Times New Roman"/>
          <w:sz w:val="24"/>
          <w:szCs w:val="24"/>
          <w:lang w:val="fr-BE"/>
        </w:rPr>
      </w:pPr>
    </w:p>
    <w:p w14:paraId="0FC0E139" w14:textId="77777777" w:rsidR="001301BE" w:rsidRDefault="00275F1A" w:rsidP="001301BE">
      <w:pPr>
        <w:pStyle w:val="Paragraphedeliste"/>
        <w:ind w:left="420"/>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Ex. Dumping = Une pratique commerciale qui consiste à vendre un produit à un prix d'exportation inférieur au prix pratiqué dans des transactions commerciales normales pour un produit similaire dans le pays exportateur. </w:t>
      </w:r>
    </w:p>
    <w:p w14:paraId="3BC3D4CD" w14:textId="77777777" w:rsidR="001301BE" w:rsidRDefault="001301BE" w:rsidP="001301BE">
      <w:pPr>
        <w:pStyle w:val="Paragraphedeliste"/>
        <w:ind w:left="420"/>
        <w:jc w:val="both"/>
        <w:rPr>
          <w:rFonts w:ascii="Times New Roman" w:hAnsi="Times New Roman" w:cs="Times New Roman"/>
          <w:sz w:val="24"/>
          <w:szCs w:val="24"/>
          <w:lang w:val="fr-BE"/>
        </w:rPr>
      </w:pPr>
    </w:p>
    <w:p w14:paraId="7E6C3505" w14:textId="77777777" w:rsidR="001301BE" w:rsidRDefault="00275F1A" w:rsidP="001301BE">
      <w:pPr>
        <w:pStyle w:val="Paragraphedeliste"/>
        <w:numPr>
          <w:ilvl w:val="0"/>
          <w:numId w:val="36"/>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“En extension” : Liste des éléments relevant de la définition. </w:t>
      </w:r>
    </w:p>
    <w:p w14:paraId="2A948F49" w14:textId="77777777" w:rsidR="001301BE" w:rsidRDefault="001301BE" w:rsidP="001301BE">
      <w:pPr>
        <w:pStyle w:val="Paragraphedeliste"/>
        <w:ind w:left="420"/>
        <w:jc w:val="both"/>
        <w:rPr>
          <w:rFonts w:ascii="Times New Roman" w:hAnsi="Times New Roman" w:cs="Times New Roman"/>
          <w:sz w:val="24"/>
          <w:szCs w:val="24"/>
          <w:lang w:val="fr-BE"/>
        </w:rPr>
      </w:pPr>
    </w:p>
    <w:p w14:paraId="474E6B77" w14:textId="77777777" w:rsidR="001301BE" w:rsidRDefault="00275F1A" w:rsidP="001301BE">
      <w:pPr>
        <w:pStyle w:val="Paragraphedeliste"/>
        <w:ind w:left="420"/>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Ex. Dumping = Les pratiques commerciales impliquant les produits x, y et z de tels et tels états ont été déclarées comme étant du dumping. </w:t>
      </w:r>
    </w:p>
    <w:p w14:paraId="3A63F2D7" w14:textId="77777777" w:rsidR="001301BE" w:rsidRDefault="001301BE" w:rsidP="001301BE">
      <w:pPr>
        <w:pStyle w:val="Paragraphedeliste"/>
        <w:ind w:left="420"/>
        <w:jc w:val="both"/>
        <w:rPr>
          <w:rFonts w:ascii="Times New Roman" w:hAnsi="Times New Roman" w:cs="Times New Roman"/>
          <w:sz w:val="24"/>
          <w:szCs w:val="24"/>
          <w:lang w:val="fr-BE"/>
        </w:rPr>
      </w:pPr>
    </w:p>
    <w:p w14:paraId="2DBF7678" w14:textId="2767F6C7" w:rsidR="00275F1A" w:rsidRDefault="00275F1A" w:rsidP="001301BE">
      <w:pPr>
        <w:pStyle w:val="Paragraphedeliste"/>
        <w:ind w:left="420"/>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NB : Parfois, un terme juridique est mieux défini en extension ou au moins sous forme de liste ; pour la sécurité sociale, un "membre de la famille" est défini par une liste.</w:t>
      </w:r>
    </w:p>
    <w:p w14:paraId="2D5D5226" w14:textId="77777777" w:rsidR="001301BE" w:rsidRPr="00275F1A" w:rsidRDefault="001301BE" w:rsidP="001301BE">
      <w:pPr>
        <w:pStyle w:val="Paragraphedeliste"/>
        <w:ind w:left="420"/>
        <w:jc w:val="both"/>
        <w:rPr>
          <w:rFonts w:ascii="Times New Roman" w:hAnsi="Times New Roman" w:cs="Times New Roman"/>
          <w:sz w:val="24"/>
          <w:szCs w:val="24"/>
          <w:lang w:val="fr-BE"/>
        </w:rPr>
      </w:pPr>
    </w:p>
    <w:p w14:paraId="619BA066" w14:textId="77777777" w:rsidR="001301BE" w:rsidRDefault="00275F1A" w:rsidP="001301BE">
      <w:pPr>
        <w:pStyle w:val="Paragraphedeliste"/>
        <w:numPr>
          <w:ilvl w:val="0"/>
          <w:numId w:val="35"/>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“Effet utile” </w:t>
      </w:r>
    </w:p>
    <w:p w14:paraId="0D030052" w14:textId="77777777" w:rsidR="001301BE" w:rsidRDefault="00275F1A" w:rsidP="001301BE">
      <w:p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Ex. Article 1191 du Code civil français : « Lorsqu'une clause est susceptible de deux sens, celui qui lui confère un effet l'emporte sur celui qui ne lui en fait produire aucun. » </w:t>
      </w:r>
    </w:p>
    <w:p w14:paraId="55F956AC" w14:textId="47300E93" w:rsidR="00275F1A" w:rsidRPr="00275F1A" w:rsidRDefault="00275F1A" w:rsidP="00275F1A">
      <w:pPr>
        <w:jc w:val="both"/>
        <w:rPr>
          <w:rFonts w:ascii="Times New Roman" w:hAnsi="Times New Roman" w:cs="Times New Roman"/>
          <w:sz w:val="24"/>
          <w:szCs w:val="24"/>
          <w:lang w:val="fr-BE"/>
        </w:rPr>
      </w:pPr>
      <w:r w:rsidRPr="001301BE">
        <w:rPr>
          <w:rFonts w:ascii="Cambria Math" w:hAnsi="Cambria Math" w:cs="Cambria Math"/>
          <w:sz w:val="24"/>
          <w:szCs w:val="24"/>
          <w:lang w:val="en-US"/>
        </w:rPr>
        <w:t>⟰</w:t>
      </w:r>
      <w:r w:rsidRPr="001301BE">
        <w:rPr>
          <w:rFonts w:ascii="Times New Roman" w:hAnsi="Times New Roman" w:cs="Times New Roman"/>
          <w:sz w:val="24"/>
          <w:szCs w:val="24"/>
          <w:lang w:val="fr-BE"/>
        </w:rPr>
        <w:t xml:space="preserve"> Certaines lois spécifient, concernant les minorités, que les citoyens doivent recevoir le "même traitement et les mêmes garanties en droit et en fait." De l'ajout de "en fait," on peut déduire ou arguer que cette égalité ne doit pas être simplement formelle mais substantielle. Sinon, l'expression "en fait" ne fournirait aucune information supplémentaire.</w:t>
      </w:r>
    </w:p>
    <w:p w14:paraId="0AA4C6EA" w14:textId="77777777" w:rsidR="001301BE" w:rsidRDefault="00275F1A" w:rsidP="001301BE">
      <w:pPr>
        <w:pStyle w:val="Paragraphedeliste"/>
        <w:numPr>
          <w:ilvl w:val="0"/>
          <w:numId w:val="35"/>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Par Analogie </w:t>
      </w:r>
    </w:p>
    <w:p w14:paraId="7BB39918" w14:textId="46AB3DE0" w:rsidR="001301BE" w:rsidRDefault="00275F1A" w:rsidP="001301BE">
      <w:p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w:t>
      </w:r>
      <w:r w:rsidR="001301BE">
        <w:rPr>
          <w:rFonts w:ascii="Times New Roman" w:hAnsi="Times New Roman" w:cs="Times New Roman"/>
          <w:sz w:val="24"/>
          <w:szCs w:val="24"/>
          <w:lang w:val="fr-BE"/>
        </w:rPr>
        <w:t>V</w:t>
      </w:r>
      <w:r w:rsidRPr="001301BE">
        <w:rPr>
          <w:rFonts w:ascii="Times New Roman" w:hAnsi="Times New Roman" w:cs="Times New Roman"/>
          <w:sz w:val="24"/>
          <w:szCs w:val="24"/>
          <w:lang w:val="fr-BE"/>
        </w:rPr>
        <w:t xml:space="preserve">oir Session 3) </w:t>
      </w:r>
    </w:p>
    <w:p w14:paraId="73016960" w14:textId="1D5230B8" w:rsidR="00275F1A" w:rsidRPr="00275F1A" w:rsidRDefault="00275F1A" w:rsidP="00275F1A">
      <w:p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NB : Parfois une pente glissante ; </w:t>
      </w:r>
      <w:r w:rsidRPr="001301BE">
        <w:rPr>
          <w:rFonts w:ascii="Times New Roman" w:hAnsi="Times New Roman" w:cs="Times New Roman"/>
          <w:sz w:val="24"/>
          <w:szCs w:val="24"/>
          <w:highlight w:val="yellow"/>
          <w:lang w:val="fr-BE"/>
        </w:rPr>
        <w:t>pouvez-vous penser à quelques exemples</w:t>
      </w:r>
      <w:r w:rsidRPr="001301BE">
        <w:rPr>
          <w:rFonts w:ascii="Times New Roman" w:hAnsi="Times New Roman" w:cs="Times New Roman"/>
          <w:sz w:val="24"/>
          <w:szCs w:val="24"/>
          <w:lang w:val="fr-BE"/>
        </w:rPr>
        <w:t xml:space="preserve"> ?</w:t>
      </w:r>
    </w:p>
    <w:p w14:paraId="75D373B4" w14:textId="77777777" w:rsidR="001301BE" w:rsidRDefault="00275F1A" w:rsidP="001301BE">
      <w:pPr>
        <w:pStyle w:val="Paragraphedeliste"/>
        <w:numPr>
          <w:ilvl w:val="0"/>
          <w:numId w:val="35"/>
        </w:num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 xml:space="preserve">A Fortiori </w:t>
      </w:r>
    </w:p>
    <w:p w14:paraId="4D6D7529" w14:textId="77777777" w:rsidR="001301BE" w:rsidRDefault="00275F1A" w:rsidP="001301BE">
      <w:pPr>
        <w:jc w:val="both"/>
        <w:rPr>
          <w:rFonts w:ascii="Times New Roman" w:hAnsi="Times New Roman" w:cs="Times New Roman"/>
          <w:sz w:val="24"/>
          <w:szCs w:val="24"/>
          <w:lang w:val="fr-BE"/>
        </w:rPr>
      </w:pPr>
      <w:r w:rsidRPr="001301BE">
        <w:rPr>
          <w:rFonts w:ascii="Times New Roman" w:hAnsi="Times New Roman" w:cs="Times New Roman"/>
          <w:sz w:val="24"/>
          <w:szCs w:val="24"/>
          <w:lang w:val="fr-BE"/>
        </w:rPr>
        <w:t>(</w:t>
      </w:r>
      <w:r w:rsidR="001301BE">
        <w:rPr>
          <w:rFonts w:ascii="Times New Roman" w:hAnsi="Times New Roman" w:cs="Times New Roman"/>
          <w:sz w:val="24"/>
          <w:szCs w:val="24"/>
          <w:lang w:val="fr-BE"/>
        </w:rPr>
        <w:t>V</w:t>
      </w:r>
      <w:r w:rsidRPr="001301BE">
        <w:rPr>
          <w:rFonts w:ascii="Times New Roman" w:hAnsi="Times New Roman" w:cs="Times New Roman"/>
          <w:sz w:val="24"/>
          <w:szCs w:val="24"/>
          <w:lang w:val="fr-BE"/>
        </w:rPr>
        <w:t>oir Session 3)</w:t>
      </w:r>
    </w:p>
    <w:p w14:paraId="7EB2FDA0" w14:textId="77777777" w:rsidR="006C46E5" w:rsidRDefault="00275F1A" w:rsidP="001301BE">
      <w:pPr>
        <w:jc w:val="both"/>
        <w:rPr>
          <w:rFonts w:ascii="Times New Roman" w:hAnsi="Times New Roman" w:cs="Times New Roman"/>
          <w:sz w:val="24"/>
          <w:szCs w:val="24"/>
          <w:lang w:val="fr-BE"/>
        </w:rPr>
      </w:pPr>
      <w:r w:rsidRPr="001301BE">
        <w:rPr>
          <w:rFonts w:ascii="Cambria Math" w:hAnsi="Cambria Math" w:cs="Cambria Math"/>
          <w:sz w:val="24"/>
          <w:szCs w:val="24"/>
          <w:lang w:val="en-US"/>
        </w:rPr>
        <w:lastRenderedPageBreak/>
        <w:t>⟷</w:t>
      </w:r>
      <w:r w:rsidRPr="001301BE">
        <w:rPr>
          <w:rFonts w:ascii="Times New Roman" w:hAnsi="Times New Roman" w:cs="Times New Roman"/>
          <w:sz w:val="24"/>
          <w:szCs w:val="24"/>
          <w:lang w:val="fr-BE"/>
        </w:rPr>
        <w:t xml:space="preserve"> Nous supposons qu'il existe une gradation sur laquelle tout le monde s'accorde</w:t>
      </w:r>
      <w:r w:rsidR="006C46E5">
        <w:rPr>
          <w:rFonts w:ascii="Times New Roman" w:hAnsi="Times New Roman" w:cs="Times New Roman"/>
          <w:sz w:val="24"/>
          <w:szCs w:val="24"/>
          <w:lang w:val="fr-BE"/>
        </w:rPr>
        <w:t xml:space="preserve">, à propos de </w:t>
      </w:r>
      <w:r w:rsidRPr="001301BE">
        <w:rPr>
          <w:rFonts w:ascii="Times New Roman" w:hAnsi="Times New Roman" w:cs="Times New Roman"/>
          <w:sz w:val="24"/>
          <w:szCs w:val="24"/>
          <w:lang w:val="fr-BE"/>
        </w:rPr>
        <w:t xml:space="preserve">ce qui est </w:t>
      </w:r>
      <w:r w:rsidR="006C46E5">
        <w:rPr>
          <w:rFonts w:ascii="Times New Roman" w:hAnsi="Times New Roman" w:cs="Times New Roman"/>
          <w:sz w:val="24"/>
          <w:szCs w:val="24"/>
          <w:lang w:val="fr-BE"/>
        </w:rPr>
        <w:t>« </w:t>
      </w:r>
      <w:r w:rsidRPr="001301BE">
        <w:rPr>
          <w:rFonts w:ascii="Times New Roman" w:hAnsi="Times New Roman" w:cs="Times New Roman"/>
          <w:sz w:val="24"/>
          <w:szCs w:val="24"/>
          <w:lang w:val="fr-BE"/>
        </w:rPr>
        <w:t>moins</w:t>
      </w:r>
      <w:r w:rsidR="006C46E5">
        <w:rPr>
          <w:rFonts w:ascii="Times New Roman" w:hAnsi="Times New Roman" w:cs="Times New Roman"/>
          <w:sz w:val="24"/>
          <w:szCs w:val="24"/>
          <w:lang w:val="fr-BE"/>
        </w:rPr>
        <w:t> »</w:t>
      </w:r>
      <w:r w:rsidRPr="001301BE">
        <w:rPr>
          <w:rFonts w:ascii="Times New Roman" w:hAnsi="Times New Roman" w:cs="Times New Roman"/>
          <w:sz w:val="24"/>
          <w:szCs w:val="24"/>
          <w:lang w:val="fr-BE"/>
        </w:rPr>
        <w:t xml:space="preserve"> et ce qui est </w:t>
      </w:r>
      <w:r w:rsidR="006C46E5">
        <w:rPr>
          <w:rFonts w:ascii="Times New Roman" w:hAnsi="Times New Roman" w:cs="Times New Roman"/>
          <w:sz w:val="24"/>
          <w:szCs w:val="24"/>
          <w:lang w:val="fr-BE"/>
        </w:rPr>
        <w:t>« </w:t>
      </w:r>
      <w:r w:rsidRPr="001301BE">
        <w:rPr>
          <w:rFonts w:ascii="Times New Roman" w:hAnsi="Times New Roman" w:cs="Times New Roman"/>
          <w:sz w:val="24"/>
          <w:szCs w:val="24"/>
          <w:lang w:val="fr-BE"/>
        </w:rPr>
        <w:t>plus</w:t>
      </w:r>
      <w:r w:rsidR="006C46E5">
        <w:rPr>
          <w:rFonts w:ascii="Times New Roman" w:hAnsi="Times New Roman" w:cs="Times New Roman"/>
          <w:sz w:val="24"/>
          <w:szCs w:val="24"/>
          <w:lang w:val="fr-BE"/>
        </w:rPr>
        <w:t> »</w:t>
      </w:r>
      <w:r w:rsidRPr="001301BE">
        <w:rPr>
          <w:rFonts w:ascii="Times New Roman" w:hAnsi="Times New Roman" w:cs="Times New Roman"/>
          <w:sz w:val="24"/>
          <w:szCs w:val="24"/>
          <w:lang w:val="fr-BE"/>
        </w:rPr>
        <w:t xml:space="preserve">, par exemple, une infraction criminelle peut être plus ou moins grave, la distance entre deux points géographiques peut être plus ou moins grande, l'amour pour les frères et sœurs peut être plus ou moins important que pour les parents, etc. Mais l'accord n'est pas toujours évident. </w:t>
      </w:r>
    </w:p>
    <w:p w14:paraId="2E2DA8DD" w14:textId="53C863C9" w:rsidR="00275F1A" w:rsidRPr="00275F1A" w:rsidRDefault="00275F1A" w:rsidP="00275F1A">
      <w:pPr>
        <w:jc w:val="both"/>
        <w:rPr>
          <w:rFonts w:ascii="Times New Roman" w:hAnsi="Times New Roman" w:cs="Times New Roman"/>
          <w:sz w:val="24"/>
          <w:szCs w:val="24"/>
          <w:lang w:val="fr-BE"/>
        </w:rPr>
      </w:pPr>
      <w:r w:rsidRPr="001301BE">
        <w:rPr>
          <w:rFonts w:ascii="Cambria Math" w:hAnsi="Cambria Math" w:cs="Cambria Math"/>
          <w:sz w:val="24"/>
          <w:szCs w:val="24"/>
          <w:lang w:val="en-US"/>
        </w:rPr>
        <w:t>⟰</w:t>
      </w:r>
      <w:r w:rsidRPr="001301BE">
        <w:rPr>
          <w:rFonts w:ascii="Times New Roman" w:hAnsi="Times New Roman" w:cs="Times New Roman"/>
          <w:sz w:val="24"/>
          <w:szCs w:val="24"/>
          <w:lang w:val="fr-BE"/>
        </w:rPr>
        <w:t xml:space="preserve"> Jacques Vergès, connu pour avoir défendu plusieurs criminels de guerre et dictateurs, a répondu à un journaliste qui lui demandait s'il serait prêt à défendre Hitler en disant: "Même George W. </w:t>
      </w:r>
      <w:proofErr w:type="gramStart"/>
      <w:r w:rsidRPr="001301BE">
        <w:rPr>
          <w:rFonts w:ascii="Times New Roman" w:hAnsi="Times New Roman" w:cs="Times New Roman"/>
          <w:sz w:val="24"/>
          <w:szCs w:val="24"/>
          <w:lang w:val="fr-BE"/>
        </w:rPr>
        <w:t>Bush !</w:t>
      </w:r>
      <w:proofErr w:type="gramEnd"/>
      <w:r w:rsidRPr="001301BE">
        <w:rPr>
          <w:rFonts w:ascii="Times New Roman" w:hAnsi="Times New Roman" w:cs="Times New Roman"/>
          <w:sz w:val="24"/>
          <w:szCs w:val="24"/>
          <w:lang w:val="fr-BE"/>
        </w:rPr>
        <w:t>" Le mot "même" indique que sur l'échelle du mal, Bush est présenté comme supérieur (et donc pire) qu'Hitler. Vergès a également ajouté, non sans malice, concernant Bush : "S'il plaide coupable !" une condition qu'il n'a pas imposée à sa défense d'Hitler.</w:t>
      </w:r>
    </w:p>
    <w:p w14:paraId="7342A2DB" w14:textId="5E6E9CD9" w:rsidR="006C46E5" w:rsidRPr="006C46E5" w:rsidRDefault="00275F1A" w:rsidP="006C46E5">
      <w:pPr>
        <w:pStyle w:val="Paragraphedeliste"/>
        <w:numPr>
          <w:ilvl w:val="0"/>
          <w:numId w:val="35"/>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 xml:space="preserve">A Contrario </w:t>
      </w:r>
    </w:p>
    <w:p w14:paraId="279085DC" w14:textId="77777777" w:rsidR="006C46E5" w:rsidRDefault="006C46E5" w:rsidP="006C46E5">
      <w:pPr>
        <w:jc w:val="both"/>
        <w:rPr>
          <w:rFonts w:ascii="Times New Roman" w:hAnsi="Times New Roman" w:cs="Times New Roman"/>
          <w:sz w:val="24"/>
          <w:szCs w:val="24"/>
          <w:lang w:val="fr-BE"/>
        </w:rPr>
      </w:pPr>
      <w:r>
        <w:rPr>
          <w:rFonts w:ascii="Times New Roman" w:hAnsi="Times New Roman" w:cs="Times New Roman"/>
          <w:sz w:val="24"/>
          <w:szCs w:val="24"/>
          <w:lang w:val="fr-BE"/>
        </w:rPr>
        <w:t>V</w:t>
      </w:r>
      <w:r w:rsidR="00275F1A" w:rsidRPr="006C46E5">
        <w:rPr>
          <w:rFonts w:ascii="Times New Roman" w:hAnsi="Times New Roman" w:cs="Times New Roman"/>
          <w:sz w:val="24"/>
          <w:szCs w:val="24"/>
          <w:lang w:val="fr-BE"/>
        </w:rPr>
        <w:t>oir Session 3</w:t>
      </w:r>
      <w:r>
        <w:rPr>
          <w:rFonts w:ascii="Times New Roman" w:hAnsi="Times New Roman" w:cs="Times New Roman"/>
          <w:sz w:val="24"/>
          <w:szCs w:val="24"/>
          <w:lang w:val="fr-BE"/>
        </w:rPr>
        <w:t>.</w:t>
      </w:r>
    </w:p>
    <w:p w14:paraId="43C3B86E" w14:textId="77777777" w:rsidR="006C46E5" w:rsidRDefault="00275F1A" w:rsidP="006C46E5">
      <w:p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 xml:space="preserve">Ex. Art. 21-2 du Code civil français : « L'étranger ou apatride qui contracte mariage avec un conjoint de nationalité française peut, après un délai de quatre ans à compter du mariage, acquérir la nationalité française par </w:t>
      </w:r>
      <w:r w:rsidRPr="006C46E5">
        <w:rPr>
          <w:rFonts w:ascii="Times New Roman" w:hAnsi="Times New Roman" w:cs="Times New Roman"/>
          <w:sz w:val="24"/>
          <w:szCs w:val="24"/>
          <w:u w:val="single"/>
          <w:lang w:val="fr-BE"/>
        </w:rPr>
        <w:t>déclaration</w:t>
      </w:r>
      <w:r w:rsidRPr="006C46E5">
        <w:rPr>
          <w:rFonts w:ascii="Times New Roman" w:hAnsi="Times New Roman" w:cs="Times New Roman"/>
          <w:sz w:val="24"/>
          <w:szCs w:val="24"/>
          <w:lang w:val="fr-BE"/>
        </w:rPr>
        <w:t xml:space="preserve"> à condition qu'à la date de cette déclaration la communauté de vie tant affective que matérielle n'ait pas cessé entre les époux depuis le mariage et que le conjoint français ait conservé sa nationalité […] » </w:t>
      </w:r>
    </w:p>
    <w:p w14:paraId="4843022F" w14:textId="77777777" w:rsidR="006C46E5" w:rsidRDefault="00275F1A" w:rsidP="006C46E5">
      <w:p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 xml:space="preserve">Art. 21-5 : « Le mariage déclaré nul par une décision émanant d'une juridiction française ou d'une juridiction étrangère dont l'autorité est reconnue en France ne rend pas caduque la déclaration prévue à l'article 21-2 au profit du conjoint qui l'a contracté </w:t>
      </w:r>
      <w:r w:rsidRPr="006C46E5">
        <w:rPr>
          <w:rFonts w:ascii="Times New Roman" w:hAnsi="Times New Roman" w:cs="Times New Roman"/>
          <w:sz w:val="24"/>
          <w:szCs w:val="24"/>
          <w:u w:val="single"/>
          <w:lang w:val="fr-BE"/>
        </w:rPr>
        <w:t>de bonne foi</w:t>
      </w:r>
      <w:r w:rsidRPr="006C46E5">
        <w:rPr>
          <w:rFonts w:ascii="Times New Roman" w:hAnsi="Times New Roman" w:cs="Times New Roman"/>
          <w:sz w:val="24"/>
          <w:szCs w:val="24"/>
          <w:lang w:val="fr-BE"/>
        </w:rPr>
        <w:t xml:space="preserve"> ». </w:t>
      </w:r>
    </w:p>
    <w:p w14:paraId="170517F1" w14:textId="77777777" w:rsidR="006C46E5" w:rsidRDefault="00275F1A" w:rsidP="006C46E5">
      <w:pPr>
        <w:jc w:val="both"/>
        <w:rPr>
          <w:rFonts w:ascii="Times New Roman" w:hAnsi="Times New Roman" w:cs="Times New Roman"/>
          <w:sz w:val="24"/>
          <w:szCs w:val="24"/>
          <w:lang w:val="fr-BE"/>
        </w:rPr>
      </w:pPr>
      <w:r w:rsidRPr="006C46E5">
        <w:rPr>
          <w:rFonts w:ascii="Cambria Math" w:hAnsi="Cambria Math" w:cs="Cambria Math"/>
          <w:sz w:val="24"/>
          <w:szCs w:val="24"/>
          <w:lang w:val="en-US"/>
        </w:rPr>
        <w:t>⟰</w:t>
      </w:r>
      <w:r w:rsidRPr="006C46E5">
        <w:rPr>
          <w:rFonts w:ascii="Times New Roman" w:hAnsi="Times New Roman" w:cs="Times New Roman"/>
          <w:sz w:val="24"/>
          <w:szCs w:val="24"/>
          <w:lang w:val="fr-BE"/>
        </w:rPr>
        <w:t xml:space="preserve"> Cass. Fr., </w:t>
      </w:r>
      <w:proofErr w:type="spellStart"/>
      <w:r w:rsidRPr="006C46E5">
        <w:rPr>
          <w:rFonts w:ascii="Times New Roman" w:hAnsi="Times New Roman" w:cs="Times New Roman"/>
          <w:sz w:val="24"/>
          <w:szCs w:val="24"/>
          <w:lang w:val="fr-BE"/>
        </w:rPr>
        <w:t>Civ</w:t>
      </w:r>
      <w:proofErr w:type="spellEnd"/>
      <w:r w:rsidRPr="006C46E5">
        <w:rPr>
          <w:rFonts w:ascii="Times New Roman" w:hAnsi="Times New Roman" w:cs="Times New Roman"/>
          <w:sz w:val="24"/>
          <w:szCs w:val="24"/>
          <w:lang w:val="fr-BE"/>
        </w:rPr>
        <w:t xml:space="preserve">. 1re, 13 févr. 2013, n° 12-17.645, NP : Inversement, lorsque le conjoint dont le mariage est annulé agit de mauvaise foi, sa déclaration de nationalité devient nulle. </w:t>
      </w:r>
    </w:p>
    <w:p w14:paraId="1BFA02DC" w14:textId="39744581" w:rsidR="00275F1A" w:rsidRPr="00275F1A" w:rsidRDefault="00275F1A" w:rsidP="00275F1A">
      <w:pPr>
        <w:jc w:val="both"/>
        <w:rPr>
          <w:rFonts w:ascii="Times New Roman" w:hAnsi="Times New Roman" w:cs="Times New Roman"/>
          <w:sz w:val="24"/>
          <w:szCs w:val="24"/>
          <w:lang w:val="fr-BE"/>
        </w:rPr>
      </w:pPr>
      <w:r w:rsidRPr="006C46E5">
        <w:rPr>
          <w:rFonts w:ascii="Cambria Math" w:hAnsi="Cambria Math" w:cs="Cambria Math"/>
          <w:sz w:val="24"/>
          <w:szCs w:val="24"/>
          <w:lang w:val="en-US"/>
        </w:rPr>
        <w:t>⟷</w:t>
      </w:r>
      <w:r w:rsidRPr="006C46E5">
        <w:rPr>
          <w:rFonts w:ascii="Times New Roman" w:hAnsi="Times New Roman" w:cs="Times New Roman"/>
          <w:sz w:val="24"/>
          <w:szCs w:val="24"/>
          <w:lang w:val="fr-BE"/>
        </w:rPr>
        <w:t xml:space="preserve"> La déclaration de l'article 21-2 doit être faite de bonne foi.</w:t>
      </w:r>
    </w:p>
    <w:p w14:paraId="2849EC32" w14:textId="7D359638" w:rsidR="006C46E5" w:rsidRPr="006C46E5" w:rsidRDefault="00275F1A" w:rsidP="006C46E5">
      <w:pPr>
        <w:pStyle w:val="Paragraphedeliste"/>
        <w:numPr>
          <w:ilvl w:val="0"/>
          <w:numId w:val="35"/>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Lit</w:t>
      </w:r>
      <w:r w:rsidR="00D44DAB">
        <w:rPr>
          <w:rFonts w:ascii="Times New Roman" w:hAnsi="Times New Roman" w:cs="Times New Roman"/>
          <w:sz w:val="24"/>
          <w:szCs w:val="24"/>
          <w:lang w:val="fr-BE"/>
        </w:rPr>
        <w:t>t</w:t>
      </w:r>
      <w:r w:rsidRPr="006C46E5">
        <w:rPr>
          <w:rFonts w:ascii="Times New Roman" w:hAnsi="Times New Roman" w:cs="Times New Roman"/>
          <w:sz w:val="24"/>
          <w:szCs w:val="24"/>
          <w:lang w:val="fr-BE"/>
        </w:rPr>
        <w:t>éra</w:t>
      </w:r>
      <w:r w:rsidR="00D44DAB">
        <w:rPr>
          <w:rFonts w:ascii="Times New Roman" w:hAnsi="Times New Roman" w:cs="Times New Roman"/>
          <w:sz w:val="24"/>
          <w:szCs w:val="24"/>
          <w:lang w:val="fr-BE"/>
        </w:rPr>
        <w:t>le</w:t>
      </w:r>
      <w:r w:rsidRPr="006C46E5">
        <w:rPr>
          <w:rFonts w:ascii="Times New Roman" w:hAnsi="Times New Roman" w:cs="Times New Roman"/>
          <w:sz w:val="24"/>
          <w:szCs w:val="24"/>
          <w:lang w:val="fr-BE"/>
        </w:rPr>
        <w:t xml:space="preserve">/Textualiste </w:t>
      </w:r>
    </w:p>
    <w:p w14:paraId="4E58C381" w14:textId="0ADB8185" w:rsidR="00275F1A" w:rsidRPr="00275F1A" w:rsidRDefault="00275F1A" w:rsidP="006C46E5">
      <w:p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w:t>
      </w:r>
      <w:r w:rsidR="006C46E5">
        <w:rPr>
          <w:rFonts w:ascii="Times New Roman" w:hAnsi="Times New Roman" w:cs="Times New Roman"/>
          <w:sz w:val="24"/>
          <w:szCs w:val="24"/>
          <w:lang w:val="fr-BE"/>
        </w:rPr>
        <w:t xml:space="preserve">Voir </w:t>
      </w:r>
      <w:r w:rsidRPr="006C46E5">
        <w:rPr>
          <w:rFonts w:ascii="Times New Roman" w:hAnsi="Times New Roman" w:cs="Times New Roman"/>
          <w:sz w:val="24"/>
          <w:szCs w:val="24"/>
          <w:lang w:val="fr-BE"/>
        </w:rPr>
        <w:t>Session 2)</w:t>
      </w:r>
    </w:p>
    <w:p w14:paraId="220AFD36" w14:textId="5513C50A" w:rsidR="006C46E5" w:rsidRPr="006C46E5" w:rsidRDefault="00CB2830" w:rsidP="006C46E5">
      <w:pPr>
        <w:pStyle w:val="Paragraphedeliste"/>
        <w:numPr>
          <w:ilvl w:val="0"/>
          <w:numId w:val="35"/>
        </w:numPr>
        <w:jc w:val="both"/>
        <w:rPr>
          <w:rFonts w:ascii="Times New Roman" w:hAnsi="Times New Roman" w:cs="Times New Roman"/>
          <w:sz w:val="24"/>
          <w:szCs w:val="24"/>
          <w:lang w:val="fr-BE"/>
        </w:rPr>
      </w:pPr>
      <w:r>
        <w:rPr>
          <w:rFonts w:ascii="Times New Roman" w:hAnsi="Times New Roman" w:cs="Times New Roman"/>
          <w:sz w:val="24"/>
          <w:szCs w:val="24"/>
          <w:lang w:val="fr-BE"/>
        </w:rPr>
        <w:t>Téléologique</w:t>
      </w:r>
    </w:p>
    <w:p w14:paraId="5C0AB920" w14:textId="77777777" w:rsidR="006C46E5" w:rsidRDefault="00275F1A" w:rsidP="006C46E5">
      <w:pPr>
        <w:jc w:val="both"/>
        <w:rPr>
          <w:rFonts w:ascii="Times New Roman" w:hAnsi="Times New Roman" w:cs="Times New Roman"/>
          <w:sz w:val="24"/>
          <w:szCs w:val="24"/>
          <w:lang w:val="fr-BE"/>
        </w:rPr>
      </w:pPr>
      <w:r w:rsidRPr="006C46E5">
        <w:rPr>
          <w:rFonts w:ascii="Cambria Math" w:hAnsi="Cambria Math" w:cs="Cambria Math"/>
          <w:sz w:val="24"/>
          <w:szCs w:val="24"/>
          <w:lang w:val="en-US"/>
        </w:rPr>
        <w:t>⟷</w:t>
      </w:r>
      <w:r w:rsidRPr="006C46E5">
        <w:rPr>
          <w:rFonts w:ascii="Times New Roman" w:hAnsi="Times New Roman" w:cs="Times New Roman"/>
          <w:sz w:val="24"/>
          <w:szCs w:val="24"/>
          <w:lang w:val="fr-BE"/>
        </w:rPr>
        <w:t xml:space="preserve"> Adaptation du contenu de la règle en fonction de son objectif. </w:t>
      </w:r>
    </w:p>
    <w:p w14:paraId="455F0BE5" w14:textId="77777777" w:rsidR="006C46E5" w:rsidRDefault="00275F1A" w:rsidP="006C46E5">
      <w:p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 xml:space="preserve">Ex. CJUE, 16 juillet 2020, B.M.M. </w:t>
      </w:r>
      <w:proofErr w:type="spellStart"/>
      <w:r w:rsidRPr="006C46E5">
        <w:rPr>
          <w:rFonts w:ascii="Times New Roman" w:hAnsi="Times New Roman" w:cs="Times New Roman"/>
          <w:sz w:val="24"/>
          <w:szCs w:val="24"/>
          <w:lang w:val="fr-BE"/>
        </w:rPr>
        <w:t>ea</w:t>
      </w:r>
      <w:proofErr w:type="spellEnd"/>
      <w:r w:rsidRPr="006C46E5">
        <w:rPr>
          <w:rFonts w:ascii="Times New Roman" w:hAnsi="Times New Roman" w:cs="Times New Roman"/>
          <w:sz w:val="24"/>
          <w:szCs w:val="24"/>
          <w:lang w:val="fr-BE"/>
        </w:rPr>
        <w:t xml:space="preserve"> c. État belge, affaires jointes C 133/19, C 136/19 et C 137/19, </w:t>
      </w:r>
      <w:proofErr w:type="gramStart"/>
      <w:r w:rsidRPr="006C46E5">
        <w:rPr>
          <w:rFonts w:ascii="Times New Roman" w:hAnsi="Times New Roman" w:cs="Times New Roman"/>
          <w:sz w:val="24"/>
          <w:szCs w:val="24"/>
          <w:lang w:val="fr-BE"/>
        </w:rPr>
        <w:t>EU:C:2020:</w:t>
      </w:r>
      <w:proofErr w:type="gramEnd"/>
      <w:r w:rsidRPr="006C46E5">
        <w:rPr>
          <w:rFonts w:ascii="Times New Roman" w:hAnsi="Times New Roman" w:cs="Times New Roman"/>
          <w:sz w:val="24"/>
          <w:szCs w:val="24"/>
          <w:lang w:val="fr-BE"/>
        </w:rPr>
        <w:t xml:space="preserve">577 : </w:t>
      </w:r>
    </w:p>
    <w:p w14:paraId="1A1049EA" w14:textId="226CDCCB" w:rsidR="00275F1A" w:rsidRPr="006C46E5" w:rsidRDefault="00275F1A" w:rsidP="006C46E5">
      <w:p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Directive 2003/86/CE « regroupement familial » =&gt; Article 4, par. 1 “enfant mineur,” interprété en fonction de l'objectif du meilleur intérêt de l'enfant.</w:t>
      </w:r>
    </w:p>
    <w:p w14:paraId="22F27169" w14:textId="7B76CD89" w:rsidR="00F816A3" w:rsidRPr="00F816A3" w:rsidRDefault="006C46E5" w:rsidP="006C46E5">
      <w:pPr>
        <w:jc w:val="both"/>
        <w:rPr>
          <w:rFonts w:ascii="Times New Roman" w:hAnsi="Times New Roman" w:cs="Times New Roman"/>
          <w:sz w:val="24"/>
          <w:szCs w:val="24"/>
          <w:lang w:val="fr-BE"/>
        </w:rPr>
      </w:pPr>
      <w:r>
        <w:rPr>
          <w:rFonts w:ascii="Times New Roman" w:hAnsi="Times New Roman" w:cs="Times New Roman"/>
          <w:b/>
          <w:bCs/>
          <w:sz w:val="24"/>
          <w:szCs w:val="24"/>
          <w:lang w:val="fr-BE"/>
        </w:rPr>
        <w:t xml:space="preserve">=&gt; </w:t>
      </w:r>
      <w:r w:rsidR="00F816A3" w:rsidRPr="00F816A3">
        <w:rPr>
          <w:rFonts w:ascii="Times New Roman" w:hAnsi="Times New Roman" w:cs="Times New Roman"/>
          <w:sz w:val="24"/>
          <w:szCs w:val="24"/>
          <w:lang w:val="fr-BE"/>
        </w:rPr>
        <w:t>Enfants du réunificateur familial ayant atteint l’âge adulte durant la procédure judiciaire contre la décision de rejet de la demande de réunification familiale : prise en compte de la minorité à la date de soumission de la demande de résidence, y compris en cas d’appel.</w:t>
      </w:r>
    </w:p>
    <w:p w14:paraId="3F913234" w14:textId="11D865C1" w:rsidR="006C46E5" w:rsidRPr="006C46E5" w:rsidRDefault="00F816A3" w:rsidP="006C46E5">
      <w:pPr>
        <w:pStyle w:val="Paragraphedeliste"/>
        <w:numPr>
          <w:ilvl w:val="0"/>
          <w:numId w:val="35"/>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Systémique</w:t>
      </w:r>
    </w:p>
    <w:p w14:paraId="44A4152B" w14:textId="77777777" w:rsidR="006C46E5" w:rsidRDefault="00F816A3" w:rsidP="006C46E5">
      <w:pPr>
        <w:spacing w:after="0"/>
        <w:jc w:val="both"/>
        <w:rPr>
          <w:rFonts w:ascii="Times New Roman" w:hAnsi="Times New Roman" w:cs="Times New Roman"/>
          <w:sz w:val="24"/>
          <w:szCs w:val="24"/>
          <w:lang w:val="fr-BE"/>
        </w:rPr>
      </w:pPr>
      <w:r w:rsidRPr="00F816A3">
        <w:rPr>
          <w:rFonts w:ascii="Cambria Math" w:hAnsi="Cambria Math" w:cs="Cambria Math"/>
          <w:sz w:val="24"/>
          <w:szCs w:val="24"/>
          <w:lang w:val="fr-BE"/>
        </w:rPr>
        <w:t>⟷</w:t>
      </w:r>
      <w:r w:rsidRPr="00F816A3">
        <w:rPr>
          <w:rFonts w:ascii="Times New Roman" w:hAnsi="Times New Roman" w:cs="Times New Roman"/>
          <w:sz w:val="24"/>
          <w:szCs w:val="24"/>
          <w:lang w:val="fr-BE"/>
        </w:rPr>
        <w:t xml:space="preserve"> Une règle doit être interprétée par rapport aux autres règles qui font partie du même système juridique.</w:t>
      </w:r>
    </w:p>
    <w:p w14:paraId="49F57F64" w14:textId="7D97D3C5" w:rsidR="00F816A3" w:rsidRPr="00F816A3" w:rsidRDefault="00F816A3" w:rsidP="00F816A3">
      <w:p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lastRenderedPageBreak/>
        <w:br/>
      </w:r>
      <w:r w:rsidRPr="00C23299">
        <w:rPr>
          <w:rFonts w:ascii="Times New Roman" w:hAnsi="Times New Roman" w:cs="Times New Roman"/>
          <w:sz w:val="24"/>
          <w:szCs w:val="24"/>
          <w:lang w:val="fr-BE"/>
        </w:rPr>
        <w:t>Ex.</w:t>
      </w:r>
      <w:r w:rsidRPr="00F816A3">
        <w:rPr>
          <w:rFonts w:ascii="Times New Roman" w:hAnsi="Times New Roman" w:cs="Times New Roman"/>
          <w:sz w:val="24"/>
          <w:szCs w:val="24"/>
          <w:lang w:val="fr-BE"/>
        </w:rPr>
        <w:t xml:space="preserve"> Affaire </w:t>
      </w:r>
      <w:r w:rsidRPr="00F816A3">
        <w:rPr>
          <w:rFonts w:ascii="Times New Roman" w:hAnsi="Times New Roman" w:cs="Times New Roman"/>
          <w:i/>
          <w:iCs/>
          <w:sz w:val="24"/>
          <w:szCs w:val="24"/>
          <w:lang w:val="fr-BE"/>
        </w:rPr>
        <w:t xml:space="preserve">Polisario </w:t>
      </w:r>
      <w:r w:rsidRPr="00F816A3">
        <w:rPr>
          <w:rFonts w:ascii="Times New Roman" w:hAnsi="Times New Roman" w:cs="Times New Roman"/>
          <w:sz w:val="24"/>
          <w:szCs w:val="24"/>
          <w:lang w:val="fr-BE"/>
        </w:rPr>
        <w:t>(Session 3), respect de la hiérarchie des normes.</w:t>
      </w:r>
    </w:p>
    <w:p w14:paraId="50305465" w14:textId="77777777" w:rsidR="006C46E5" w:rsidRPr="006C46E5" w:rsidRDefault="00F816A3" w:rsidP="006C46E5">
      <w:pPr>
        <w:pStyle w:val="Paragraphedeliste"/>
        <w:numPr>
          <w:ilvl w:val="0"/>
          <w:numId w:val="35"/>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Historique/</w:t>
      </w:r>
      <w:proofErr w:type="spellStart"/>
      <w:r w:rsidRPr="006C46E5">
        <w:rPr>
          <w:rFonts w:ascii="Times New Roman" w:hAnsi="Times New Roman" w:cs="Times New Roman"/>
          <w:sz w:val="24"/>
          <w:szCs w:val="24"/>
          <w:lang w:val="fr-BE"/>
        </w:rPr>
        <w:t>Originaliste</w:t>
      </w:r>
      <w:proofErr w:type="spellEnd"/>
      <w:r w:rsidRPr="006C46E5">
        <w:rPr>
          <w:rFonts w:ascii="Times New Roman" w:hAnsi="Times New Roman" w:cs="Times New Roman"/>
          <w:sz w:val="24"/>
          <w:szCs w:val="24"/>
          <w:lang w:val="fr-BE"/>
        </w:rPr>
        <w:t xml:space="preserve"> </w:t>
      </w:r>
    </w:p>
    <w:p w14:paraId="38001F14" w14:textId="56091117" w:rsidR="006C46E5" w:rsidRPr="006C46E5" w:rsidRDefault="00F816A3" w:rsidP="006C46E5">
      <w:p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w:t>
      </w:r>
      <w:r w:rsidR="006C46E5">
        <w:rPr>
          <w:rFonts w:ascii="Times New Roman" w:hAnsi="Times New Roman" w:cs="Times New Roman"/>
          <w:sz w:val="24"/>
          <w:szCs w:val="24"/>
          <w:lang w:val="fr-BE"/>
        </w:rPr>
        <w:t xml:space="preserve">Voir </w:t>
      </w:r>
      <w:r w:rsidRPr="006C46E5">
        <w:rPr>
          <w:rFonts w:ascii="Times New Roman" w:hAnsi="Times New Roman" w:cs="Times New Roman"/>
          <w:sz w:val="24"/>
          <w:szCs w:val="24"/>
          <w:lang w:val="fr-BE"/>
        </w:rPr>
        <w:t>Session 2)</w:t>
      </w:r>
    </w:p>
    <w:p w14:paraId="2A6316AB" w14:textId="3ED739BC" w:rsidR="00F816A3" w:rsidRPr="006C46E5" w:rsidRDefault="00F816A3" w:rsidP="006C46E5">
      <w:pPr>
        <w:pStyle w:val="Paragraphedeliste"/>
        <w:numPr>
          <w:ilvl w:val="0"/>
          <w:numId w:val="35"/>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Présomptions</w:t>
      </w:r>
    </w:p>
    <w:p w14:paraId="36697A35" w14:textId="16EEBC58" w:rsidR="00F816A3" w:rsidRPr="00F816A3" w:rsidRDefault="006C46E5" w:rsidP="00F816A3">
      <w:pPr>
        <w:numPr>
          <w:ilvl w:val="0"/>
          <w:numId w:val="21"/>
        </w:numPr>
        <w:jc w:val="both"/>
        <w:rPr>
          <w:rFonts w:ascii="Times New Roman" w:hAnsi="Times New Roman" w:cs="Times New Roman"/>
          <w:sz w:val="24"/>
          <w:szCs w:val="24"/>
          <w:lang w:val="fr-BE"/>
        </w:rPr>
      </w:pPr>
      <w:r>
        <w:rPr>
          <w:rFonts w:ascii="Times New Roman" w:hAnsi="Times New Roman" w:cs="Times New Roman"/>
          <w:b/>
          <w:bCs/>
          <w:sz w:val="24"/>
          <w:szCs w:val="24"/>
          <w:lang w:val="fr-BE"/>
        </w:rPr>
        <w:t>N</w:t>
      </w:r>
      <w:r w:rsidR="00F816A3" w:rsidRPr="00F816A3">
        <w:rPr>
          <w:rFonts w:ascii="Times New Roman" w:hAnsi="Times New Roman" w:cs="Times New Roman"/>
          <w:b/>
          <w:bCs/>
          <w:sz w:val="24"/>
          <w:szCs w:val="24"/>
          <w:lang w:val="fr-BE"/>
        </w:rPr>
        <w:t>on-irréfragables/réfragables</w:t>
      </w:r>
    </w:p>
    <w:p w14:paraId="0782262A" w14:textId="77777777" w:rsidR="00F816A3" w:rsidRPr="00F816A3" w:rsidRDefault="00F816A3" w:rsidP="00F816A3">
      <w:p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Ex</w:t>
      </w:r>
      <w:r w:rsidRPr="00F816A3">
        <w:rPr>
          <w:rFonts w:ascii="Times New Roman" w:hAnsi="Times New Roman" w:cs="Times New Roman"/>
          <w:b/>
          <w:bCs/>
          <w:sz w:val="24"/>
          <w:szCs w:val="24"/>
          <w:lang w:val="fr-BE"/>
        </w:rPr>
        <w:t>.</w:t>
      </w:r>
      <w:r w:rsidRPr="00F816A3">
        <w:rPr>
          <w:rFonts w:ascii="Times New Roman" w:hAnsi="Times New Roman" w:cs="Times New Roman"/>
          <w:sz w:val="24"/>
          <w:szCs w:val="24"/>
          <w:lang w:val="fr-BE"/>
        </w:rPr>
        <w:t xml:space="preserve"> Présomption de paternité dans l’art. 315 de l'ancien Code civil belge : « L'enfant né pendant le mariage ou dans les 300 jours qui suivent la dissolution ou l'annulation du mariage, a pour père le mari. »</w:t>
      </w:r>
    </w:p>
    <w:p w14:paraId="26FEC3BE" w14:textId="2D4FEF66" w:rsidR="00F816A3" w:rsidRPr="00F816A3" w:rsidRDefault="006C46E5" w:rsidP="00F816A3">
      <w:pPr>
        <w:numPr>
          <w:ilvl w:val="0"/>
          <w:numId w:val="22"/>
        </w:numPr>
        <w:jc w:val="both"/>
        <w:rPr>
          <w:rFonts w:ascii="Times New Roman" w:hAnsi="Times New Roman" w:cs="Times New Roman"/>
          <w:sz w:val="24"/>
          <w:szCs w:val="24"/>
          <w:lang w:val="fr-BE"/>
        </w:rPr>
      </w:pPr>
      <w:r>
        <w:rPr>
          <w:rFonts w:ascii="Times New Roman" w:hAnsi="Times New Roman" w:cs="Times New Roman"/>
          <w:b/>
          <w:bCs/>
          <w:sz w:val="24"/>
          <w:szCs w:val="24"/>
          <w:lang w:val="fr-BE"/>
        </w:rPr>
        <w:t>Irréfragables</w:t>
      </w:r>
    </w:p>
    <w:p w14:paraId="16A8297E" w14:textId="7640025C" w:rsidR="00F816A3" w:rsidRPr="00F816A3" w:rsidRDefault="006C46E5" w:rsidP="00F816A3">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Ex. </w:t>
      </w:r>
      <w:r w:rsidR="00F816A3" w:rsidRPr="00F816A3">
        <w:rPr>
          <w:rFonts w:ascii="Times New Roman" w:hAnsi="Times New Roman" w:cs="Times New Roman"/>
          <w:sz w:val="24"/>
          <w:szCs w:val="24"/>
          <w:lang w:val="fr-BE"/>
        </w:rPr>
        <w:t>Art. 4.248 du Nouveau Code civil belge : « Toute renonciation à des droits dans une succession non ouverte qui résulte d'un pacte successoral autorisé par la loi est présumée, quelles que soient ses modalités, ne pas constituer une libéralité. Cette présomption est irréfragable. »</w:t>
      </w:r>
    </w:p>
    <w:p w14:paraId="4C4C759A" w14:textId="76D5651A" w:rsidR="00F816A3" w:rsidRDefault="00F816A3" w:rsidP="006C46E5">
      <w:pPr>
        <w:pStyle w:val="Paragraphedeliste"/>
        <w:numPr>
          <w:ilvl w:val="0"/>
          <w:numId w:val="31"/>
        </w:numPr>
        <w:jc w:val="both"/>
        <w:rPr>
          <w:rFonts w:ascii="Times New Roman" w:hAnsi="Times New Roman" w:cs="Times New Roman"/>
          <w:sz w:val="24"/>
          <w:szCs w:val="24"/>
          <w:lang w:val="fr-BE"/>
        </w:rPr>
      </w:pPr>
      <w:r w:rsidRPr="006C46E5">
        <w:rPr>
          <w:rFonts w:ascii="Times New Roman" w:hAnsi="Times New Roman" w:cs="Times New Roman"/>
          <w:sz w:val="24"/>
          <w:szCs w:val="24"/>
          <w:u w:val="single"/>
          <w:lang w:val="fr-BE"/>
        </w:rPr>
        <w:t xml:space="preserve">La Doctrine </w:t>
      </w:r>
      <w:r w:rsidRPr="006C46E5">
        <w:rPr>
          <w:rFonts w:ascii="Times New Roman" w:hAnsi="Times New Roman" w:cs="Times New Roman"/>
          <w:sz w:val="24"/>
          <w:szCs w:val="24"/>
          <w:lang w:val="fr-BE"/>
        </w:rPr>
        <w:t>: Ambition Scientifique</w:t>
      </w:r>
    </w:p>
    <w:p w14:paraId="5EB63EB6" w14:textId="77777777" w:rsidR="006C46E5" w:rsidRPr="006C46E5" w:rsidRDefault="006C46E5" w:rsidP="006C46E5">
      <w:pPr>
        <w:pStyle w:val="Paragraphedeliste"/>
        <w:jc w:val="both"/>
        <w:rPr>
          <w:rFonts w:ascii="Times New Roman" w:hAnsi="Times New Roman" w:cs="Times New Roman"/>
          <w:sz w:val="24"/>
          <w:szCs w:val="24"/>
          <w:lang w:val="fr-BE"/>
        </w:rPr>
      </w:pPr>
    </w:p>
    <w:p w14:paraId="2C4882F1" w14:textId="6310287E" w:rsidR="00F816A3" w:rsidRPr="006C46E5" w:rsidRDefault="00F816A3" w:rsidP="006C46E5">
      <w:pPr>
        <w:pStyle w:val="Paragraphedeliste"/>
        <w:numPr>
          <w:ilvl w:val="0"/>
          <w:numId w:val="38"/>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Identité</w:t>
      </w:r>
    </w:p>
    <w:p w14:paraId="74D423E6" w14:textId="77777777" w:rsidR="00F816A3" w:rsidRPr="00F816A3" w:rsidRDefault="00F816A3" w:rsidP="00F816A3">
      <w:pPr>
        <w:numPr>
          <w:ilvl w:val="0"/>
          <w:numId w:val="23"/>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Un corps social (principalement des professeurs), se présentant comme savant (rites de passage, prestige universitaire) et indépendant.</w:t>
      </w:r>
    </w:p>
    <w:p w14:paraId="2DC3CCAC" w14:textId="77777777" w:rsidR="006C46E5" w:rsidRDefault="00F816A3" w:rsidP="006C46E5">
      <w:pPr>
        <w:numPr>
          <w:ilvl w:val="0"/>
          <w:numId w:val="23"/>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S’exprimant par des canaux spécifiques (revues, monographies, notes de cas, liber </w:t>
      </w:r>
      <w:proofErr w:type="spellStart"/>
      <w:r w:rsidRPr="00F816A3">
        <w:rPr>
          <w:rFonts w:ascii="Times New Roman" w:hAnsi="Times New Roman" w:cs="Times New Roman"/>
          <w:sz w:val="24"/>
          <w:szCs w:val="24"/>
          <w:lang w:val="fr-BE"/>
        </w:rPr>
        <w:t>amicorum</w:t>
      </w:r>
      <w:proofErr w:type="spellEnd"/>
      <w:r w:rsidRPr="00F816A3">
        <w:rPr>
          <w:rFonts w:ascii="Times New Roman" w:hAnsi="Times New Roman" w:cs="Times New Roman"/>
          <w:sz w:val="24"/>
          <w:szCs w:val="24"/>
          <w:lang w:val="fr-BE"/>
        </w:rPr>
        <w:t>)</w:t>
      </w:r>
    </w:p>
    <w:p w14:paraId="7CFFB437" w14:textId="7A05B542" w:rsidR="00F816A3" w:rsidRPr="006C46E5" w:rsidRDefault="00F816A3" w:rsidP="006C46E5">
      <w:pPr>
        <w:pStyle w:val="Paragraphedeliste"/>
        <w:numPr>
          <w:ilvl w:val="0"/>
          <w:numId w:val="38"/>
        </w:numPr>
        <w:jc w:val="both"/>
        <w:rPr>
          <w:rFonts w:ascii="Times New Roman" w:hAnsi="Times New Roman" w:cs="Times New Roman"/>
          <w:sz w:val="24"/>
          <w:szCs w:val="24"/>
          <w:lang w:val="fr-BE"/>
        </w:rPr>
      </w:pPr>
      <w:r w:rsidRPr="006C46E5">
        <w:rPr>
          <w:rFonts w:ascii="Times New Roman" w:hAnsi="Times New Roman" w:cs="Times New Roman"/>
          <w:sz w:val="24"/>
          <w:szCs w:val="24"/>
          <w:lang w:val="fr-BE"/>
        </w:rPr>
        <w:t>Missions</w:t>
      </w:r>
    </w:p>
    <w:p w14:paraId="78B1ADCB" w14:textId="72EDB3EC" w:rsidR="00F816A3" w:rsidRPr="00F816A3" w:rsidRDefault="00F816A3" w:rsidP="00F816A3">
      <w:pPr>
        <w:numPr>
          <w:ilvl w:val="0"/>
          <w:numId w:val="24"/>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Assurer une science « pure » du droit (« la dogmatique juridique ») : consolide la vision scientifique du dr</w:t>
      </w:r>
      <w:r w:rsidR="006C46E5">
        <w:rPr>
          <w:rFonts w:ascii="Times New Roman" w:hAnsi="Times New Roman" w:cs="Times New Roman"/>
          <w:sz w:val="24"/>
          <w:szCs w:val="24"/>
          <w:lang w:val="fr-BE"/>
        </w:rPr>
        <w:t>o</w:t>
      </w:r>
      <w:r w:rsidRPr="00F816A3">
        <w:rPr>
          <w:rFonts w:ascii="Times New Roman" w:hAnsi="Times New Roman" w:cs="Times New Roman"/>
          <w:sz w:val="24"/>
          <w:szCs w:val="24"/>
          <w:lang w:val="fr-BE"/>
        </w:rPr>
        <w:t>it.</w:t>
      </w:r>
    </w:p>
    <w:p w14:paraId="686EE380" w14:textId="77777777" w:rsidR="00582FC9" w:rsidRDefault="00F816A3" w:rsidP="00F816A3">
      <w:pPr>
        <w:numPr>
          <w:ilvl w:val="0"/>
          <w:numId w:val="24"/>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Créer des systèmes, construire des théories, restaurer l</w:t>
      </w:r>
      <w:proofErr w:type="gramStart"/>
      <w:r w:rsidRPr="00F816A3">
        <w:rPr>
          <w:rFonts w:ascii="Times New Roman" w:hAnsi="Times New Roman" w:cs="Times New Roman"/>
          <w:sz w:val="24"/>
          <w:szCs w:val="24"/>
          <w:lang w:val="fr-BE"/>
        </w:rPr>
        <w:t>'«</w:t>
      </w:r>
      <w:proofErr w:type="gramEnd"/>
      <w:r w:rsidRPr="00F816A3">
        <w:rPr>
          <w:rFonts w:ascii="Times New Roman" w:hAnsi="Times New Roman" w:cs="Times New Roman"/>
          <w:sz w:val="24"/>
          <w:szCs w:val="24"/>
          <w:lang w:val="fr-BE"/>
        </w:rPr>
        <w:t xml:space="preserve"> ordre » juridique à partir d'un océan de cas et de législation : assiste dans le projet « systémique » du droit.</w:t>
      </w:r>
    </w:p>
    <w:p w14:paraId="6EC273A5" w14:textId="1252BD76" w:rsidR="00F816A3" w:rsidRPr="00582FC9" w:rsidRDefault="00F816A3" w:rsidP="00582FC9">
      <w:pPr>
        <w:pStyle w:val="Paragraphedeliste"/>
        <w:numPr>
          <w:ilvl w:val="0"/>
          <w:numId w:val="30"/>
        </w:numPr>
        <w:jc w:val="both"/>
        <w:rPr>
          <w:rFonts w:ascii="Times New Roman" w:hAnsi="Times New Roman" w:cs="Times New Roman"/>
          <w:sz w:val="24"/>
          <w:szCs w:val="24"/>
          <w:lang w:val="fr-BE"/>
        </w:rPr>
      </w:pPr>
      <w:r w:rsidRPr="00582FC9">
        <w:rPr>
          <w:rFonts w:ascii="Times New Roman" w:hAnsi="Times New Roman" w:cs="Times New Roman"/>
          <w:b/>
          <w:bCs/>
          <w:sz w:val="24"/>
          <w:szCs w:val="24"/>
          <w:lang w:val="fr-BE"/>
        </w:rPr>
        <w:t xml:space="preserve">Pratique </w:t>
      </w:r>
      <w:r w:rsidR="006C46E5" w:rsidRPr="00582FC9">
        <w:rPr>
          <w:rFonts w:ascii="Times New Roman" w:hAnsi="Times New Roman" w:cs="Times New Roman"/>
          <w:b/>
          <w:bCs/>
          <w:sz w:val="24"/>
          <w:szCs w:val="24"/>
          <w:lang w:val="fr-BE"/>
        </w:rPr>
        <w:t>j</w:t>
      </w:r>
      <w:r w:rsidRPr="00582FC9">
        <w:rPr>
          <w:rFonts w:ascii="Times New Roman" w:hAnsi="Times New Roman" w:cs="Times New Roman"/>
          <w:b/>
          <w:bCs/>
          <w:sz w:val="24"/>
          <w:szCs w:val="24"/>
          <w:lang w:val="fr-BE"/>
        </w:rPr>
        <w:t xml:space="preserve">uridique </w:t>
      </w:r>
      <w:r w:rsidR="006C46E5" w:rsidRPr="00582FC9">
        <w:rPr>
          <w:rFonts w:ascii="Times New Roman" w:hAnsi="Times New Roman" w:cs="Times New Roman"/>
          <w:b/>
          <w:bCs/>
          <w:sz w:val="24"/>
          <w:szCs w:val="24"/>
          <w:lang w:val="fr-BE"/>
        </w:rPr>
        <w:t>c</w:t>
      </w:r>
      <w:r w:rsidRPr="00582FC9">
        <w:rPr>
          <w:rFonts w:ascii="Times New Roman" w:hAnsi="Times New Roman" w:cs="Times New Roman"/>
          <w:b/>
          <w:bCs/>
          <w:sz w:val="24"/>
          <w:szCs w:val="24"/>
          <w:lang w:val="fr-BE"/>
        </w:rPr>
        <w:t xml:space="preserve">onventionnelle : </w:t>
      </w:r>
      <w:r w:rsidR="006C46E5" w:rsidRPr="00582FC9">
        <w:rPr>
          <w:rFonts w:ascii="Times New Roman" w:hAnsi="Times New Roman" w:cs="Times New Roman"/>
          <w:b/>
          <w:bCs/>
          <w:sz w:val="24"/>
          <w:szCs w:val="24"/>
          <w:lang w:val="fr-BE"/>
        </w:rPr>
        <w:t>le cas du</w:t>
      </w:r>
      <w:r w:rsidRPr="00582FC9">
        <w:rPr>
          <w:rFonts w:ascii="Times New Roman" w:hAnsi="Times New Roman" w:cs="Times New Roman"/>
          <w:b/>
          <w:bCs/>
          <w:sz w:val="24"/>
          <w:szCs w:val="24"/>
          <w:lang w:val="fr-BE"/>
        </w:rPr>
        <w:t xml:space="preserve"> </w:t>
      </w:r>
      <w:r w:rsidR="006C46E5" w:rsidRPr="00582FC9">
        <w:rPr>
          <w:rFonts w:ascii="Times New Roman" w:hAnsi="Times New Roman" w:cs="Times New Roman"/>
          <w:b/>
          <w:bCs/>
          <w:sz w:val="24"/>
          <w:szCs w:val="24"/>
          <w:lang w:val="fr-BE"/>
        </w:rPr>
        <w:t>r</w:t>
      </w:r>
      <w:r w:rsidRPr="00582FC9">
        <w:rPr>
          <w:rFonts w:ascii="Times New Roman" w:hAnsi="Times New Roman" w:cs="Times New Roman"/>
          <w:b/>
          <w:bCs/>
          <w:sz w:val="24"/>
          <w:szCs w:val="24"/>
          <w:lang w:val="fr-BE"/>
        </w:rPr>
        <w:t xml:space="preserve">ôle des </w:t>
      </w:r>
      <w:r w:rsidR="006C46E5" w:rsidRPr="00582FC9">
        <w:rPr>
          <w:rFonts w:ascii="Times New Roman" w:hAnsi="Times New Roman" w:cs="Times New Roman"/>
          <w:b/>
          <w:bCs/>
          <w:sz w:val="24"/>
          <w:szCs w:val="24"/>
          <w:lang w:val="fr-BE"/>
        </w:rPr>
        <w:t>a</w:t>
      </w:r>
      <w:r w:rsidRPr="00582FC9">
        <w:rPr>
          <w:rFonts w:ascii="Times New Roman" w:hAnsi="Times New Roman" w:cs="Times New Roman"/>
          <w:b/>
          <w:bCs/>
          <w:sz w:val="24"/>
          <w:szCs w:val="24"/>
          <w:lang w:val="fr-BE"/>
        </w:rPr>
        <w:t>vocats</w:t>
      </w:r>
    </w:p>
    <w:p w14:paraId="1A7D4C25" w14:textId="77777777" w:rsidR="00582FC9" w:rsidRPr="00582FC9" w:rsidRDefault="00F816A3" w:rsidP="00C23299">
      <w:pPr>
        <w:jc w:val="both"/>
        <w:rPr>
          <w:rFonts w:ascii="Times New Roman" w:hAnsi="Times New Roman" w:cs="Times New Roman"/>
          <w:sz w:val="24"/>
          <w:szCs w:val="24"/>
          <w:u w:val="single"/>
          <w:lang w:val="fr-BE"/>
        </w:rPr>
      </w:pPr>
      <w:r w:rsidRPr="00F816A3">
        <w:rPr>
          <w:rFonts w:ascii="Times New Roman" w:hAnsi="Times New Roman" w:cs="Times New Roman"/>
          <w:sz w:val="24"/>
          <w:szCs w:val="24"/>
          <w:u w:val="single"/>
          <w:lang w:val="fr-BE"/>
        </w:rPr>
        <w:t>L'Avocat, auxiliaire judiciaire au service du « système »</w:t>
      </w:r>
    </w:p>
    <w:p w14:paraId="5EB6BC19" w14:textId="77777777" w:rsidR="00582FC9" w:rsidRDefault="00F816A3" w:rsidP="00582FC9">
      <w:p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 La profession d’avocat a été de tout </w:t>
      </w:r>
      <w:proofErr w:type="gramStart"/>
      <w:r w:rsidRPr="00F816A3">
        <w:rPr>
          <w:rFonts w:ascii="Times New Roman" w:hAnsi="Times New Roman" w:cs="Times New Roman"/>
          <w:sz w:val="24"/>
          <w:szCs w:val="24"/>
          <w:lang w:val="fr-BE"/>
        </w:rPr>
        <w:t>temps considérée</w:t>
      </w:r>
      <w:proofErr w:type="gramEnd"/>
      <w:r w:rsidRPr="00F816A3">
        <w:rPr>
          <w:rFonts w:ascii="Times New Roman" w:hAnsi="Times New Roman" w:cs="Times New Roman"/>
          <w:sz w:val="24"/>
          <w:szCs w:val="24"/>
          <w:lang w:val="fr-BE"/>
        </w:rPr>
        <w:t xml:space="preserve"> comme figurant parmi les plus nobles et les plus importantes au point de vue social. L’avocat collabore à l’administration de la justice en sa qualité d’auxiliaire des tribunaux. Il met son activité, ses connaissances juridiques, son talent au service de ceux dont l’honneur, la famille ou la fortune sont menacés. Il est pour eux un guide » (L. Crémieu, </w:t>
      </w:r>
      <w:r w:rsidRPr="00F816A3">
        <w:rPr>
          <w:rFonts w:ascii="Times New Roman" w:hAnsi="Times New Roman" w:cs="Times New Roman"/>
          <w:i/>
          <w:iCs/>
          <w:sz w:val="24"/>
          <w:szCs w:val="24"/>
          <w:lang w:val="fr-BE"/>
        </w:rPr>
        <w:t>Traité de la profession d’avocat</w:t>
      </w:r>
      <w:r w:rsidRPr="00F816A3">
        <w:rPr>
          <w:rFonts w:ascii="Times New Roman" w:hAnsi="Times New Roman" w:cs="Times New Roman"/>
          <w:sz w:val="24"/>
          <w:szCs w:val="24"/>
          <w:lang w:val="fr-BE"/>
        </w:rPr>
        <w:t>, Paris, Dalloz, 1954, p. 7).</w:t>
      </w:r>
    </w:p>
    <w:p w14:paraId="34DB619A" w14:textId="0423711B" w:rsidR="00F816A3" w:rsidRPr="00F816A3" w:rsidRDefault="00F816A3" w:rsidP="00582FC9">
      <w:p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br/>
      </w:r>
      <w:r w:rsidRPr="00F816A3">
        <w:rPr>
          <w:rFonts w:ascii="Cambria Math" w:hAnsi="Cambria Math" w:cs="Cambria Math"/>
          <w:sz w:val="24"/>
          <w:szCs w:val="24"/>
          <w:lang w:val="fr-BE"/>
        </w:rPr>
        <w:t>⟷</w:t>
      </w:r>
      <w:r w:rsidRPr="00F816A3">
        <w:rPr>
          <w:rFonts w:ascii="Times New Roman" w:hAnsi="Times New Roman" w:cs="Times New Roman"/>
          <w:sz w:val="24"/>
          <w:szCs w:val="24"/>
          <w:lang w:val="fr-BE"/>
        </w:rPr>
        <w:t xml:space="preserve"> Serviteur de l'État au bénéfice des clients… Ce qui est parfois ambigu !</w:t>
      </w:r>
    </w:p>
    <w:p w14:paraId="5F3C10B5" w14:textId="75A72151" w:rsidR="00F816A3" w:rsidRPr="00582FC9" w:rsidRDefault="00582FC9" w:rsidP="00582FC9">
      <w:pPr>
        <w:pStyle w:val="Paragraphedeliste"/>
        <w:numPr>
          <w:ilvl w:val="1"/>
          <w:numId w:val="24"/>
        </w:numPr>
        <w:jc w:val="both"/>
        <w:rPr>
          <w:rFonts w:ascii="Times New Roman" w:hAnsi="Times New Roman" w:cs="Times New Roman"/>
          <w:sz w:val="24"/>
          <w:szCs w:val="24"/>
          <w:lang w:val="fr-BE"/>
        </w:rPr>
      </w:pPr>
      <w:r w:rsidRPr="00582FC9">
        <w:rPr>
          <w:rFonts w:ascii="Times New Roman" w:hAnsi="Times New Roman" w:cs="Times New Roman"/>
          <w:sz w:val="24"/>
          <w:szCs w:val="24"/>
          <w:lang w:val="fr-BE"/>
        </w:rPr>
        <w:t>Prérogatives</w:t>
      </w:r>
    </w:p>
    <w:p w14:paraId="697903E7" w14:textId="77777777" w:rsidR="00582FC9" w:rsidRDefault="00F816A3" w:rsidP="00582FC9">
      <w:pPr>
        <w:numPr>
          <w:ilvl w:val="0"/>
          <w:numId w:val="26"/>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lastRenderedPageBreak/>
        <w:t>Le droit exclusif de plaider</w:t>
      </w:r>
    </w:p>
    <w:p w14:paraId="49903415" w14:textId="549EC1AE"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Art. 440 C. </w:t>
      </w:r>
      <w:proofErr w:type="spellStart"/>
      <w:r w:rsidRPr="00F816A3">
        <w:rPr>
          <w:rFonts w:ascii="Times New Roman" w:hAnsi="Times New Roman" w:cs="Times New Roman"/>
          <w:sz w:val="24"/>
          <w:szCs w:val="24"/>
          <w:lang w:val="fr-BE"/>
        </w:rPr>
        <w:t>Jud</w:t>
      </w:r>
      <w:proofErr w:type="spellEnd"/>
      <w:r w:rsidRPr="00F816A3">
        <w:rPr>
          <w:rFonts w:ascii="Times New Roman" w:hAnsi="Times New Roman" w:cs="Times New Roman"/>
          <w:sz w:val="24"/>
          <w:szCs w:val="24"/>
          <w:lang w:val="fr-BE"/>
        </w:rPr>
        <w:t>. : « Devant toutes les juridictions, sauf les exceptions prévues par la loi, seuls les avocats ont le droit de plaider. »</w:t>
      </w:r>
    </w:p>
    <w:p w14:paraId="4BA9E53A" w14:textId="77777777" w:rsidR="00582FC9" w:rsidRPr="00582FC9" w:rsidRDefault="00F816A3" w:rsidP="00582FC9">
      <w:pPr>
        <w:numPr>
          <w:ilvl w:val="0"/>
          <w:numId w:val="26"/>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Secret professionnel (privilège)</w:t>
      </w:r>
    </w:p>
    <w:p w14:paraId="78E797BC" w14:textId="706E1F0B" w:rsidR="00F816A3" w:rsidRPr="00F816A3"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La protection du secret professionnel des avocats est un principe à deux aspects, l'un procédural, tiré du droit fondamental à un procès équitable, l'autre substantiel, tiré du droit fondamental au respect de la vie privée. Il est facile d'attacher les droits de la défense, le droit à l'assistance juridique et le privilège contre l'</w:t>
      </w:r>
      <w:proofErr w:type="spellStart"/>
      <w:r w:rsidRPr="00F816A3">
        <w:rPr>
          <w:rFonts w:ascii="Times New Roman" w:hAnsi="Times New Roman" w:cs="Times New Roman"/>
          <w:sz w:val="24"/>
          <w:szCs w:val="24"/>
          <w:lang w:val="fr-BE"/>
        </w:rPr>
        <w:t>auto-incrimination</w:t>
      </w:r>
      <w:proofErr w:type="spellEnd"/>
      <w:r w:rsidRPr="00F816A3">
        <w:rPr>
          <w:rFonts w:ascii="Times New Roman" w:hAnsi="Times New Roman" w:cs="Times New Roman"/>
          <w:sz w:val="24"/>
          <w:szCs w:val="24"/>
          <w:lang w:val="fr-BE"/>
        </w:rPr>
        <w:t xml:space="preserve"> à sa base procédurale. Les exigences qui correspondent à sa base substantielle sont ‘qu'une personne doit pouvoir, sans contrainte, consulter un avocat dont la profession implique de donner des conseils juridiques indépendants à tous ceux qui en ont besoin’ et le devoir corollaire de l'avocat d'agir de bonne foi envers son client. Le principe de secret trouve son origine dans la nature même de la profession d'avocat. » (Avis de l'AG </w:t>
      </w:r>
      <w:proofErr w:type="spellStart"/>
      <w:r w:rsidRPr="00F816A3">
        <w:rPr>
          <w:rFonts w:ascii="Times New Roman" w:hAnsi="Times New Roman" w:cs="Times New Roman"/>
          <w:sz w:val="24"/>
          <w:szCs w:val="24"/>
          <w:lang w:val="fr-BE"/>
        </w:rPr>
        <w:t>Maduro</w:t>
      </w:r>
      <w:proofErr w:type="spellEnd"/>
      <w:r w:rsidRPr="00F816A3">
        <w:rPr>
          <w:rFonts w:ascii="Times New Roman" w:hAnsi="Times New Roman" w:cs="Times New Roman"/>
          <w:sz w:val="24"/>
          <w:szCs w:val="24"/>
          <w:lang w:val="fr-BE"/>
        </w:rPr>
        <w:t xml:space="preserve"> dans l'affaire C-305/05 Ordre des barreaux…, </w:t>
      </w:r>
      <w:proofErr w:type="gramStart"/>
      <w:r w:rsidRPr="00F816A3">
        <w:rPr>
          <w:rFonts w:ascii="Times New Roman" w:hAnsi="Times New Roman" w:cs="Times New Roman"/>
          <w:sz w:val="24"/>
          <w:szCs w:val="24"/>
          <w:lang w:val="fr-BE"/>
        </w:rPr>
        <w:t>EU:C:2006:</w:t>
      </w:r>
      <w:proofErr w:type="gramEnd"/>
      <w:r w:rsidRPr="00F816A3">
        <w:rPr>
          <w:rFonts w:ascii="Times New Roman" w:hAnsi="Times New Roman" w:cs="Times New Roman"/>
          <w:sz w:val="24"/>
          <w:szCs w:val="24"/>
          <w:lang w:val="fr-BE"/>
        </w:rPr>
        <w:t>788).</w:t>
      </w:r>
    </w:p>
    <w:p w14:paraId="67B512F6" w14:textId="2E449ED9" w:rsidR="00F816A3" w:rsidRPr="00582FC9" w:rsidRDefault="00F816A3" w:rsidP="00582FC9">
      <w:pPr>
        <w:pStyle w:val="Paragraphedeliste"/>
        <w:numPr>
          <w:ilvl w:val="1"/>
          <w:numId w:val="24"/>
        </w:numPr>
        <w:jc w:val="both"/>
        <w:rPr>
          <w:rFonts w:ascii="Times New Roman" w:hAnsi="Times New Roman" w:cs="Times New Roman"/>
          <w:sz w:val="24"/>
          <w:szCs w:val="24"/>
          <w:lang w:val="fr-BE"/>
        </w:rPr>
      </w:pPr>
      <w:r w:rsidRPr="00582FC9">
        <w:rPr>
          <w:rFonts w:ascii="Times New Roman" w:hAnsi="Times New Roman" w:cs="Times New Roman"/>
          <w:sz w:val="24"/>
          <w:szCs w:val="24"/>
          <w:lang w:val="fr-BE"/>
        </w:rPr>
        <w:t>Devoirs</w:t>
      </w:r>
    </w:p>
    <w:p w14:paraId="56835715" w14:textId="77777777" w:rsidR="00582FC9" w:rsidRPr="00582FC9" w:rsidRDefault="00F816A3" w:rsidP="00F816A3">
      <w:pPr>
        <w:numPr>
          <w:ilvl w:val="0"/>
          <w:numId w:val="27"/>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Le Serment</w:t>
      </w:r>
    </w:p>
    <w:p w14:paraId="23E3AAC4" w14:textId="77777777"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Art. 429 C. </w:t>
      </w:r>
      <w:proofErr w:type="spellStart"/>
      <w:r w:rsidRPr="00F816A3">
        <w:rPr>
          <w:rFonts w:ascii="Times New Roman" w:hAnsi="Times New Roman" w:cs="Times New Roman"/>
          <w:sz w:val="24"/>
          <w:szCs w:val="24"/>
          <w:lang w:val="fr-BE"/>
        </w:rPr>
        <w:t>Jud</w:t>
      </w:r>
      <w:proofErr w:type="spellEnd"/>
      <w:r w:rsidRPr="00F816A3">
        <w:rPr>
          <w:rFonts w:ascii="Times New Roman" w:hAnsi="Times New Roman" w:cs="Times New Roman"/>
          <w:sz w:val="24"/>
          <w:szCs w:val="24"/>
          <w:lang w:val="fr-BE"/>
        </w:rPr>
        <w:t>. : « La réception (du serment de l'avocat) a lieu à l'audience publique de la cour d'appel, sur la présentation d'un avocat inscrit au tableau d'un barreau du ressort depuis dix ans au moins en présence du bâtonnier de l'Ordre des avocats au siège de la cour d'appel et sur les réquisitions du ministère public.</w:t>
      </w:r>
    </w:p>
    <w:p w14:paraId="7C0DDEF7" w14:textId="77777777"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Le récipiendaire prête serment en ces termes :</w:t>
      </w:r>
    </w:p>
    <w:p w14:paraId="28A55763" w14:textId="548B38C6" w:rsidR="00F816A3" w:rsidRPr="00F816A3"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"Je jure fidélité au Roi, obéissance à la Constitution et aux lois du peuple belge, de ne point m'écarter du respect dû aux tribunaux et aux autorités publiques, de ne conseiller ou défendre aucune cause que je ne croirai pas juste en mon âme et conscience".</w:t>
      </w:r>
      <w:r w:rsidRPr="00F816A3">
        <w:rPr>
          <w:rFonts w:ascii="Times New Roman" w:hAnsi="Times New Roman" w:cs="Times New Roman"/>
          <w:sz w:val="24"/>
          <w:szCs w:val="24"/>
          <w:lang w:val="fr-BE"/>
        </w:rPr>
        <w:br/>
        <w:t>Le greffier dresse du tout, procès-verbal et il certifie, au dos du diplôme, l'accomplissement des formalités. »</w:t>
      </w:r>
    </w:p>
    <w:p w14:paraId="1BFEC7C5" w14:textId="77777777" w:rsidR="00582FC9" w:rsidRDefault="00F816A3" w:rsidP="00582FC9">
      <w:pPr>
        <w:numPr>
          <w:ilvl w:val="0"/>
          <w:numId w:val="27"/>
        </w:numPr>
        <w:spacing w:after="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L'</w:t>
      </w:r>
      <w:r w:rsidR="00582FC9">
        <w:rPr>
          <w:rFonts w:ascii="Times New Roman" w:hAnsi="Times New Roman" w:cs="Times New Roman"/>
          <w:sz w:val="24"/>
          <w:szCs w:val="24"/>
          <w:lang w:val="fr-BE"/>
        </w:rPr>
        <w:t>i</w:t>
      </w:r>
      <w:r w:rsidRPr="00F816A3">
        <w:rPr>
          <w:rFonts w:ascii="Times New Roman" w:hAnsi="Times New Roman" w:cs="Times New Roman"/>
          <w:sz w:val="24"/>
          <w:szCs w:val="24"/>
          <w:lang w:val="fr-BE"/>
        </w:rPr>
        <w:t>ndépendance</w:t>
      </w:r>
    </w:p>
    <w:p w14:paraId="7FCA7E25" w14:textId="1187A62D" w:rsidR="00582FC9" w:rsidRP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br/>
      </w:r>
      <w:r w:rsidRPr="00F816A3">
        <w:rPr>
          <w:rFonts w:ascii="Cambria Math" w:hAnsi="Cambria Math" w:cs="Cambria Math"/>
          <w:sz w:val="24"/>
          <w:szCs w:val="24"/>
          <w:lang w:val="fr-BE"/>
        </w:rPr>
        <w:t>⟰</w:t>
      </w:r>
      <w:r w:rsidRPr="00F816A3">
        <w:rPr>
          <w:rFonts w:ascii="Times New Roman" w:hAnsi="Times New Roman" w:cs="Times New Roman"/>
          <w:sz w:val="24"/>
          <w:szCs w:val="24"/>
          <w:lang w:val="fr-BE"/>
        </w:rPr>
        <w:t xml:space="preserve"> Restrictions concernant d'autres activités professionnelles</w:t>
      </w:r>
    </w:p>
    <w:p w14:paraId="67248BFD" w14:textId="60BB3250"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Art. 437 C. </w:t>
      </w:r>
      <w:proofErr w:type="spellStart"/>
      <w:r w:rsidRPr="00F816A3">
        <w:rPr>
          <w:rFonts w:ascii="Times New Roman" w:hAnsi="Times New Roman" w:cs="Times New Roman"/>
          <w:sz w:val="24"/>
          <w:szCs w:val="24"/>
          <w:lang w:val="fr-BE"/>
        </w:rPr>
        <w:t>Jud</w:t>
      </w:r>
      <w:proofErr w:type="spellEnd"/>
      <w:r w:rsidRPr="00F816A3">
        <w:rPr>
          <w:rFonts w:ascii="Times New Roman" w:hAnsi="Times New Roman" w:cs="Times New Roman"/>
          <w:sz w:val="24"/>
          <w:szCs w:val="24"/>
          <w:lang w:val="fr-BE"/>
        </w:rPr>
        <w:t>. : « La profession d'avocat est incompatible :</w:t>
      </w:r>
      <w:r w:rsidR="00582FC9">
        <w:rPr>
          <w:rFonts w:ascii="Times New Roman" w:hAnsi="Times New Roman" w:cs="Times New Roman"/>
          <w:sz w:val="24"/>
          <w:szCs w:val="24"/>
          <w:lang w:val="fr-BE"/>
        </w:rPr>
        <w:t xml:space="preserve"> </w:t>
      </w:r>
      <w:r w:rsidRPr="00F816A3">
        <w:rPr>
          <w:rFonts w:ascii="Times New Roman" w:hAnsi="Times New Roman" w:cs="Times New Roman"/>
          <w:sz w:val="24"/>
          <w:szCs w:val="24"/>
          <w:lang w:val="fr-BE"/>
        </w:rPr>
        <w:t>1° avec la profession de magistrat effectif, de greffier et d'agent de l'État ;</w:t>
      </w:r>
      <w:r w:rsidR="00582FC9">
        <w:rPr>
          <w:rFonts w:ascii="Times New Roman" w:hAnsi="Times New Roman" w:cs="Times New Roman"/>
          <w:sz w:val="24"/>
          <w:szCs w:val="24"/>
          <w:lang w:val="fr-BE"/>
        </w:rPr>
        <w:t xml:space="preserve"> </w:t>
      </w:r>
      <w:r w:rsidRPr="00F816A3">
        <w:rPr>
          <w:rFonts w:ascii="Times New Roman" w:hAnsi="Times New Roman" w:cs="Times New Roman"/>
          <w:sz w:val="24"/>
          <w:szCs w:val="24"/>
          <w:lang w:val="fr-BE"/>
        </w:rPr>
        <w:t>2° avec les fonctions de notaire et d'huissier de justice ;</w:t>
      </w:r>
      <w:r w:rsidR="00582FC9">
        <w:rPr>
          <w:rFonts w:ascii="Times New Roman" w:hAnsi="Times New Roman" w:cs="Times New Roman"/>
          <w:sz w:val="24"/>
          <w:szCs w:val="24"/>
          <w:lang w:val="fr-BE"/>
        </w:rPr>
        <w:t xml:space="preserve"> </w:t>
      </w:r>
      <w:r w:rsidRPr="00F816A3">
        <w:rPr>
          <w:rFonts w:ascii="Times New Roman" w:hAnsi="Times New Roman" w:cs="Times New Roman"/>
          <w:sz w:val="24"/>
          <w:szCs w:val="24"/>
          <w:lang w:val="fr-BE"/>
        </w:rPr>
        <w:t>3° avec l'exercice d'une industrie ou d'un négoce ;</w:t>
      </w:r>
      <w:r w:rsidRPr="00F816A3">
        <w:rPr>
          <w:rFonts w:ascii="Times New Roman" w:hAnsi="Times New Roman" w:cs="Times New Roman"/>
          <w:sz w:val="24"/>
          <w:szCs w:val="24"/>
          <w:lang w:val="fr-BE"/>
        </w:rPr>
        <w:br/>
        <w:t>4° avec les emplois et activités rémunérés, publics ou privés, à moins qu'ils ne mettent en péril ni l'indépendance de l'avocat ni la dignité du barreau.</w:t>
      </w:r>
    </w:p>
    <w:p w14:paraId="13AC74E4" w14:textId="77777777"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S'il existe une cause d'incompatibilité, l'omission du tableau (ou de la liste des avocats qui exercent leur profession sous le titre professionnel d'un autre État membre de l'Union européenne) ou de la liste des stagiaires est prononcée par le conseil de l'Ordre, soit à la demande de l'avocat intéressé, soit d'office, et en ce dernier cas, selon la procédure prévue en matière disciplinaire. »</w:t>
      </w:r>
      <w:r w:rsidR="00582FC9">
        <w:rPr>
          <w:rFonts w:ascii="Times New Roman" w:hAnsi="Times New Roman" w:cs="Times New Roman"/>
          <w:sz w:val="24"/>
          <w:szCs w:val="24"/>
          <w:lang w:val="fr-BE"/>
        </w:rPr>
        <w:t xml:space="preserve"> </w:t>
      </w:r>
    </w:p>
    <w:p w14:paraId="6A1639A5" w14:textId="4862DC5B" w:rsidR="00F816A3" w:rsidRPr="00F816A3" w:rsidRDefault="00F816A3" w:rsidP="00582FC9">
      <w:pPr>
        <w:ind w:left="720"/>
        <w:jc w:val="both"/>
        <w:rPr>
          <w:rFonts w:ascii="Times New Roman" w:hAnsi="Times New Roman" w:cs="Times New Roman"/>
          <w:sz w:val="24"/>
          <w:szCs w:val="24"/>
          <w:lang w:val="fr-BE"/>
        </w:rPr>
      </w:pPr>
      <w:r w:rsidRPr="00F816A3">
        <w:rPr>
          <w:rFonts w:ascii="Cambria Math" w:hAnsi="Cambria Math" w:cs="Cambria Math"/>
          <w:sz w:val="24"/>
          <w:szCs w:val="24"/>
          <w:lang w:val="fr-BE"/>
        </w:rPr>
        <w:lastRenderedPageBreak/>
        <w:t>⟰</w:t>
      </w:r>
      <w:r w:rsidRPr="00F816A3">
        <w:rPr>
          <w:rFonts w:ascii="Times New Roman" w:hAnsi="Times New Roman" w:cs="Times New Roman"/>
          <w:sz w:val="24"/>
          <w:szCs w:val="24"/>
          <w:lang w:val="fr-BE"/>
        </w:rPr>
        <w:t xml:space="preserve"> Restrictions concernant les clients (pour des raisons d'intimité ou de conflit d'intérêts).</w:t>
      </w:r>
    </w:p>
    <w:p w14:paraId="52911782" w14:textId="430CBE3B" w:rsidR="00582FC9" w:rsidRDefault="00F816A3" w:rsidP="00F816A3">
      <w:pPr>
        <w:numPr>
          <w:ilvl w:val="0"/>
          <w:numId w:val="27"/>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Les obligations de dignité, d'honnêteté et de délicatesse </w:t>
      </w:r>
    </w:p>
    <w:p w14:paraId="615A3F6B" w14:textId="69FD3D10"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 De toutes les qualités requises, la plus importante, celle qui constitue, au point de vue moral, l’âme de la profession est la probité. L’avocat doit être foncièrement honnête. Il doit avoir le sens inné de la droiture afin de toujours respecter la robe qu’il porte et le serment qu’il a prêté. (…) Il doit faire preuve, en toutes circonstances, à l’égard des plaideurs qui ont recours à lui, de modération et de désintéressement. (…) L’avocat, enfin, doit, pour réussir, avoir l'amour de sa profession. Il doit la considérer comme un sacerdoce » (L. Crémieu, </w:t>
      </w:r>
      <w:r w:rsidRPr="00F816A3">
        <w:rPr>
          <w:rFonts w:ascii="Times New Roman" w:hAnsi="Times New Roman" w:cs="Times New Roman"/>
          <w:i/>
          <w:iCs/>
          <w:sz w:val="24"/>
          <w:szCs w:val="24"/>
          <w:lang w:val="fr-BE"/>
        </w:rPr>
        <w:t>Traité de la profession d’avocat</w:t>
      </w:r>
      <w:r w:rsidRPr="00F816A3">
        <w:rPr>
          <w:rFonts w:ascii="Times New Roman" w:hAnsi="Times New Roman" w:cs="Times New Roman"/>
          <w:sz w:val="24"/>
          <w:szCs w:val="24"/>
          <w:lang w:val="fr-BE"/>
        </w:rPr>
        <w:t>, Paris, Dalloz, 1954, p. 8).</w:t>
      </w:r>
    </w:p>
    <w:p w14:paraId="7B07816D" w14:textId="77777777" w:rsidR="00582FC9"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Art. 444 C. </w:t>
      </w:r>
      <w:proofErr w:type="spellStart"/>
      <w:r w:rsidRPr="00F816A3">
        <w:rPr>
          <w:rFonts w:ascii="Times New Roman" w:hAnsi="Times New Roman" w:cs="Times New Roman"/>
          <w:sz w:val="24"/>
          <w:szCs w:val="24"/>
          <w:lang w:val="fr-BE"/>
        </w:rPr>
        <w:t>Jud</w:t>
      </w:r>
      <w:proofErr w:type="spellEnd"/>
      <w:r w:rsidRPr="00F816A3">
        <w:rPr>
          <w:rFonts w:ascii="Times New Roman" w:hAnsi="Times New Roman" w:cs="Times New Roman"/>
          <w:sz w:val="24"/>
          <w:szCs w:val="24"/>
          <w:lang w:val="fr-BE"/>
        </w:rPr>
        <w:t>. : « Les avocats exercent librement leur ministère pour la défense de la justice et de la vérité.</w:t>
      </w:r>
      <w:r w:rsidR="00582FC9">
        <w:rPr>
          <w:rFonts w:ascii="Times New Roman" w:hAnsi="Times New Roman" w:cs="Times New Roman"/>
          <w:sz w:val="24"/>
          <w:szCs w:val="24"/>
          <w:lang w:val="fr-BE"/>
        </w:rPr>
        <w:t xml:space="preserve"> </w:t>
      </w:r>
      <w:r w:rsidRPr="00F816A3">
        <w:rPr>
          <w:rFonts w:ascii="Times New Roman" w:hAnsi="Times New Roman" w:cs="Times New Roman"/>
          <w:sz w:val="24"/>
          <w:szCs w:val="24"/>
          <w:lang w:val="fr-BE"/>
        </w:rPr>
        <w:t>Ils doivent s'abstenir d'avancer aucun fait grave contre l'honneur et la réputation des personnes à moins que la nécessité de la cause ne l'exige et sous la réserve des poursuites disciplinaires et de l'application de l'article 445, s'il y a lieu. »</w:t>
      </w:r>
    </w:p>
    <w:p w14:paraId="71AE501F" w14:textId="48944428" w:rsidR="00F816A3" w:rsidRPr="00F816A3" w:rsidRDefault="00F816A3" w:rsidP="00582FC9">
      <w:pPr>
        <w:ind w:left="720"/>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 xml:space="preserve">Art. 445 C. </w:t>
      </w:r>
      <w:proofErr w:type="spellStart"/>
      <w:r w:rsidRPr="00F816A3">
        <w:rPr>
          <w:rFonts w:ascii="Times New Roman" w:hAnsi="Times New Roman" w:cs="Times New Roman"/>
          <w:sz w:val="24"/>
          <w:szCs w:val="24"/>
          <w:lang w:val="fr-BE"/>
        </w:rPr>
        <w:t>Jud</w:t>
      </w:r>
      <w:proofErr w:type="spellEnd"/>
      <w:r w:rsidRPr="00F816A3">
        <w:rPr>
          <w:rFonts w:ascii="Times New Roman" w:hAnsi="Times New Roman" w:cs="Times New Roman"/>
          <w:sz w:val="24"/>
          <w:szCs w:val="24"/>
          <w:lang w:val="fr-BE"/>
        </w:rPr>
        <w:t>. : « Si un avocat, dans ses plaidoiries ou dans ses écrits, attaquait méchamment la Monarchie, la Constitution, les lois du peuple belge ou les autorités établies, le tribunal ou la cour qui connaît de l'affaire pourrait faire dresser procès-verbal par le greffier et saisir de l'incident le conseil de l'Ordre dont relève l'intéressé. »</w:t>
      </w:r>
    </w:p>
    <w:p w14:paraId="4744A5A7" w14:textId="77777777" w:rsidR="00F816A3" w:rsidRPr="00F816A3" w:rsidRDefault="00F816A3" w:rsidP="00F816A3">
      <w:pPr>
        <w:numPr>
          <w:ilvl w:val="0"/>
          <w:numId w:val="27"/>
        </w:numPr>
        <w:jc w:val="both"/>
        <w:rPr>
          <w:rFonts w:ascii="Times New Roman" w:hAnsi="Times New Roman" w:cs="Times New Roman"/>
          <w:sz w:val="24"/>
          <w:szCs w:val="24"/>
          <w:lang w:val="fr-BE"/>
        </w:rPr>
      </w:pPr>
      <w:r w:rsidRPr="00F816A3">
        <w:rPr>
          <w:rFonts w:ascii="Times New Roman" w:hAnsi="Times New Roman" w:cs="Times New Roman"/>
          <w:sz w:val="24"/>
          <w:szCs w:val="24"/>
          <w:lang w:val="fr-BE"/>
        </w:rPr>
        <w:t>Loyauté, confraternité, confidentialité envers d'autres avocats</w:t>
      </w:r>
    </w:p>
    <w:p w14:paraId="2934EA2C" w14:textId="77777777" w:rsidR="00890630" w:rsidRPr="00F816A3" w:rsidRDefault="00890630" w:rsidP="0099238E">
      <w:pPr>
        <w:jc w:val="both"/>
        <w:rPr>
          <w:rFonts w:ascii="Times New Roman" w:hAnsi="Times New Roman" w:cs="Times New Roman"/>
          <w:sz w:val="24"/>
          <w:szCs w:val="24"/>
          <w:lang w:val="fr-BE"/>
        </w:rPr>
      </w:pPr>
    </w:p>
    <w:sectPr w:rsidR="00890630" w:rsidRPr="00F81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5pt;height:11.55pt" o:bullet="t">
        <v:imagedata r:id="rId1" o:title="mso8760"/>
      </v:shape>
    </w:pict>
  </w:numPicBullet>
  <w:abstractNum w:abstractNumId="0" w15:restartNumberingAfterBreak="0">
    <w:nsid w:val="02897434"/>
    <w:multiLevelType w:val="hybridMultilevel"/>
    <w:tmpl w:val="27682B18"/>
    <w:lvl w:ilvl="0" w:tplc="65FCEA9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A341D7"/>
    <w:multiLevelType w:val="multilevel"/>
    <w:tmpl w:val="1EC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7A44"/>
    <w:multiLevelType w:val="multilevel"/>
    <w:tmpl w:val="B0F2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404C0"/>
    <w:multiLevelType w:val="hybridMultilevel"/>
    <w:tmpl w:val="431ABA50"/>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4937DB2"/>
    <w:multiLevelType w:val="hybridMultilevel"/>
    <w:tmpl w:val="3BC66BD2"/>
    <w:lvl w:ilvl="0" w:tplc="F564BE7C">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5D62EA"/>
    <w:multiLevelType w:val="hybridMultilevel"/>
    <w:tmpl w:val="FC2E02CC"/>
    <w:lvl w:ilvl="0" w:tplc="51326354">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D4D452C"/>
    <w:multiLevelType w:val="hybridMultilevel"/>
    <w:tmpl w:val="D61EF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E7074B5"/>
    <w:multiLevelType w:val="multilevel"/>
    <w:tmpl w:val="413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F7193"/>
    <w:multiLevelType w:val="hybridMultilevel"/>
    <w:tmpl w:val="18640FB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4713B16"/>
    <w:multiLevelType w:val="multilevel"/>
    <w:tmpl w:val="0A6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50925"/>
    <w:multiLevelType w:val="hybridMultilevel"/>
    <w:tmpl w:val="EA427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8236E16"/>
    <w:multiLevelType w:val="multilevel"/>
    <w:tmpl w:val="3E84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D0B26"/>
    <w:multiLevelType w:val="multilevel"/>
    <w:tmpl w:val="A15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37D1E"/>
    <w:multiLevelType w:val="multilevel"/>
    <w:tmpl w:val="676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C4111"/>
    <w:multiLevelType w:val="multilevel"/>
    <w:tmpl w:val="CC3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F0E6D"/>
    <w:multiLevelType w:val="multilevel"/>
    <w:tmpl w:val="435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903E0"/>
    <w:multiLevelType w:val="multilevel"/>
    <w:tmpl w:val="D5D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0535D"/>
    <w:multiLevelType w:val="multilevel"/>
    <w:tmpl w:val="DABAA4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F4053"/>
    <w:multiLevelType w:val="hybridMultilevel"/>
    <w:tmpl w:val="A61636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4FB3766"/>
    <w:multiLevelType w:val="multilevel"/>
    <w:tmpl w:val="23B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021A0"/>
    <w:multiLevelType w:val="multilevel"/>
    <w:tmpl w:val="58C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1457B"/>
    <w:multiLevelType w:val="multilevel"/>
    <w:tmpl w:val="76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B3D3D"/>
    <w:multiLevelType w:val="multilevel"/>
    <w:tmpl w:val="2E2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97050"/>
    <w:multiLevelType w:val="hybridMultilevel"/>
    <w:tmpl w:val="B494FFE0"/>
    <w:lvl w:ilvl="0" w:tplc="DCDA101E">
      <w:start w:val="1"/>
      <w:numFmt w:val="bullet"/>
      <w:lvlText w:val="-"/>
      <w:lvlJc w:val="left"/>
      <w:pPr>
        <w:ind w:left="420" w:hanging="360"/>
      </w:pPr>
      <w:rPr>
        <w:rFonts w:ascii="Times New Roman" w:eastAsiaTheme="minorHAnsi"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4B9D0C6D"/>
    <w:multiLevelType w:val="hybridMultilevel"/>
    <w:tmpl w:val="0B3093D2"/>
    <w:lvl w:ilvl="0" w:tplc="66BA4D0A">
      <w:start w:val="1"/>
      <w:numFmt w:val="upperRoman"/>
      <w:lvlText w:val="%1."/>
      <w:lvlJc w:val="left"/>
      <w:pPr>
        <w:ind w:left="1080" w:hanging="72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C075E40"/>
    <w:multiLevelType w:val="hybridMultilevel"/>
    <w:tmpl w:val="83364A1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0B9007C"/>
    <w:multiLevelType w:val="multilevel"/>
    <w:tmpl w:val="A3021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FC2639"/>
    <w:multiLevelType w:val="multilevel"/>
    <w:tmpl w:val="0266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88223C"/>
    <w:multiLevelType w:val="multilevel"/>
    <w:tmpl w:val="46466D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0316BC"/>
    <w:multiLevelType w:val="multilevel"/>
    <w:tmpl w:val="C228F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A93040"/>
    <w:multiLevelType w:val="hybridMultilevel"/>
    <w:tmpl w:val="AE0ECFDA"/>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1" w15:restartNumberingAfterBreak="0">
    <w:nsid w:val="63F8006C"/>
    <w:multiLevelType w:val="hybridMultilevel"/>
    <w:tmpl w:val="DD3CEAAC"/>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2" w15:restartNumberingAfterBreak="0">
    <w:nsid w:val="739432CA"/>
    <w:multiLevelType w:val="hybridMultilevel"/>
    <w:tmpl w:val="52864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3EF6622"/>
    <w:multiLevelType w:val="multilevel"/>
    <w:tmpl w:val="DC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A14A9"/>
    <w:multiLevelType w:val="multilevel"/>
    <w:tmpl w:val="9746C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02193D"/>
    <w:multiLevelType w:val="multilevel"/>
    <w:tmpl w:val="F066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B326D"/>
    <w:multiLevelType w:val="hybridMultilevel"/>
    <w:tmpl w:val="9EB89FAC"/>
    <w:lvl w:ilvl="0" w:tplc="00C84C46">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F966D1C"/>
    <w:multiLevelType w:val="hybridMultilevel"/>
    <w:tmpl w:val="8A44C002"/>
    <w:lvl w:ilvl="0" w:tplc="AC6A10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57534412">
    <w:abstractNumId w:val="7"/>
  </w:num>
  <w:num w:numId="2" w16cid:durableId="925309965">
    <w:abstractNumId w:val="11"/>
  </w:num>
  <w:num w:numId="3" w16cid:durableId="1827623470">
    <w:abstractNumId w:val="34"/>
  </w:num>
  <w:num w:numId="4" w16cid:durableId="1134102366">
    <w:abstractNumId w:val="35"/>
  </w:num>
  <w:num w:numId="5" w16cid:durableId="2058505235">
    <w:abstractNumId w:val="27"/>
  </w:num>
  <w:num w:numId="6" w16cid:durableId="2079396576">
    <w:abstractNumId w:val="12"/>
  </w:num>
  <w:num w:numId="7" w16cid:durableId="1272662651">
    <w:abstractNumId w:val="8"/>
  </w:num>
  <w:num w:numId="8" w16cid:durableId="1584340874">
    <w:abstractNumId w:val="36"/>
  </w:num>
  <w:num w:numId="9" w16cid:durableId="618952924">
    <w:abstractNumId w:val="9"/>
  </w:num>
  <w:num w:numId="10" w16cid:durableId="1441880274">
    <w:abstractNumId w:val="33"/>
  </w:num>
  <w:num w:numId="11" w16cid:durableId="841354598">
    <w:abstractNumId w:val="13"/>
  </w:num>
  <w:num w:numId="12" w16cid:durableId="1867790602">
    <w:abstractNumId w:val="31"/>
  </w:num>
  <w:num w:numId="13" w16cid:durableId="102312495">
    <w:abstractNumId w:val="3"/>
  </w:num>
  <w:num w:numId="14" w16cid:durableId="359747483">
    <w:abstractNumId w:val="5"/>
  </w:num>
  <w:num w:numId="15" w16cid:durableId="945498880">
    <w:abstractNumId w:val="30"/>
  </w:num>
  <w:num w:numId="16" w16cid:durableId="48766939">
    <w:abstractNumId w:val="16"/>
  </w:num>
  <w:num w:numId="17" w16cid:durableId="374357960">
    <w:abstractNumId w:val="29"/>
  </w:num>
  <w:num w:numId="18" w16cid:durableId="499394781">
    <w:abstractNumId w:val="2"/>
  </w:num>
  <w:num w:numId="19" w16cid:durableId="1582717504">
    <w:abstractNumId w:val="28"/>
  </w:num>
  <w:num w:numId="20" w16cid:durableId="687365923">
    <w:abstractNumId w:val="14"/>
  </w:num>
  <w:num w:numId="21" w16cid:durableId="949357059">
    <w:abstractNumId w:val="1"/>
  </w:num>
  <w:num w:numId="22" w16cid:durableId="386295416">
    <w:abstractNumId w:val="21"/>
  </w:num>
  <w:num w:numId="23" w16cid:durableId="399835837">
    <w:abstractNumId w:val="22"/>
  </w:num>
  <w:num w:numId="24" w16cid:durableId="447698183">
    <w:abstractNumId w:val="17"/>
  </w:num>
  <w:num w:numId="25" w16cid:durableId="222716935">
    <w:abstractNumId w:val="15"/>
  </w:num>
  <w:num w:numId="26" w16cid:durableId="1247112333">
    <w:abstractNumId w:val="20"/>
  </w:num>
  <w:num w:numId="27" w16cid:durableId="2043819483">
    <w:abstractNumId w:val="19"/>
  </w:num>
  <w:num w:numId="28" w16cid:durableId="979110465">
    <w:abstractNumId w:val="26"/>
  </w:num>
  <w:num w:numId="29" w16cid:durableId="661547254">
    <w:abstractNumId w:val="32"/>
  </w:num>
  <w:num w:numId="30" w16cid:durableId="192575329">
    <w:abstractNumId w:val="24"/>
  </w:num>
  <w:num w:numId="31" w16cid:durableId="940184812">
    <w:abstractNumId w:val="37"/>
  </w:num>
  <w:num w:numId="32" w16cid:durableId="32195045">
    <w:abstractNumId w:val="6"/>
  </w:num>
  <w:num w:numId="33" w16cid:durableId="1377970921">
    <w:abstractNumId w:val="4"/>
  </w:num>
  <w:num w:numId="34" w16cid:durableId="970667843">
    <w:abstractNumId w:val="0"/>
  </w:num>
  <w:num w:numId="35" w16cid:durableId="1894611070">
    <w:abstractNumId w:val="25"/>
  </w:num>
  <w:num w:numId="36" w16cid:durableId="149636026">
    <w:abstractNumId w:val="23"/>
  </w:num>
  <w:num w:numId="37" w16cid:durableId="795292152">
    <w:abstractNumId w:val="10"/>
  </w:num>
  <w:num w:numId="38" w16cid:durableId="1968197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50"/>
    <w:rsid w:val="000708F7"/>
    <w:rsid w:val="001301BE"/>
    <w:rsid w:val="001F3720"/>
    <w:rsid w:val="002264B7"/>
    <w:rsid w:val="00275F1A"/>
    <w:rsid w:val="002D646C"/>
    <w:rsid w:val="00340644"/>
    <w:rsid w:val="00582FC9"/>
    <w:rsid w:val="006C46E5"/>
    <w:rsid w:val="00746B09"/>
    <w:rsid w:val="00785F93"/>
    <w:rsid w:val="007A10DF"/>
    <w:rsid w:val="00890630"/>
    <w:rsid w:val="00924DAE"/>
    <w:rsid w:val="00981A42"/>
    <w:rsid w:val="0099238E"/>
    <w:rsid w:val="00A1294C"/>
    <w:rsid w:val="00B323A7"/>
    <w:rsid w:val="00B73DA2"/>
    <w:rsid w:val="00B76332"/>
    <w:rsid w:val="00C15750"/>
    <w:rsid w:val="00C23299"/>
    <w:rsid w:val="00CB2830"/>
    <w:rsid w:val="00CF5B1D"/>
    <w:rsid w:val="00D0786B"/>
    <w:rsid w:val="00D44DAB"/>
    <w:rsid w:val="00D630E0"/>
    <w:rsid w:val="00DC4227"/>
    <w:rsid w:val="00E217E7"/>
    <w:rsid w:val="00F16F93"/>
    <w:rsid w:val="00F816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F6B7"/>
  <w15:chartTrackingRefBased/>
  <w15:docId w15:val="{F38EBA83-4D5D-41F1-AE89-16095E83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1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57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57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57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57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57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57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57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750"/>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C15750"/>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C15750"/>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C15750"/>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C15750"/>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C15750"/>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C15750"/>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C15750"/>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C15750"/>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C1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75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C157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5750"/>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C15750"/>
    <w:pPr>
      <w:spacing w:before="160"/>
      <w:jc w:val="center"/>
    </w:pPr>
    <w:rPr>
      <w:i/>
      <w:iCs/>
      <w:color w:val="404040" w:themeColor="text1" w:themeTint="BF"/>
    </w:rPr>
  </w:style>
  <w:style w:type="character" w:customStyle="1" w:styleId="CitationCar">
    <w:name w:val="Citation Car"/>
    <w:basedOn w:val="Policepardfaut"/>
    <w:link w:val="Citation"/>
    <w:uiPriority w:val="29"/>
    <w:rsid w:val="00C15750"/>
    <w:rPr>
      <w:i/>
      <w:iCs/>
      <w:color w:val="404040" w:themeColor="text1" w:themeTint="BF"/>
      <w:lang w:val="en-GB"/>
    </w:rPr>
  </w:style>
  <w:style w:type="paragraph" w:styleId="Paragraphedeliste">
    <w:name w:val="List Paragraph"/>
    <w:basedOn w:val="Normal"/>
    <w:uiPriority w:val="34"/>
    <w:qFormat/>
    <w:rsid w:val="00C15750"/>
    <w:pPr>
      <w:ind w:left="720"/>
      <w:contextualSpacing/>
    </w:pPr>
  </w:style>
  <w:style w:type="character" w:styleId="Accentuationintense">
    <w:name w:val="Intense Emphasis"/>
    <w:basedOn w:val="Policepardfaut"/>
    <w:uiPriority w:val="21"/>
    <w:qFormat/>
    <w:rsid w:val="00C15750"/>
    <w:rPr>
      <w:i/>
      <w:iCs/>
      <w:color w:val="0F4761" w:themeColor="accent1" w:themeShade="BF"/>
    </w:rPr>
  </w:style>
  <w:style w:type="paragraph" w:styleId="Citationintense">
    <w:name w:val="Intense Quote"/>
    <w:basedOn w:val="Normal"/>
    <w:next w:val="Normal"/>
    <w:link w:val="CitationintenseCar"/>
    <w:uiPriority w:val="30"/>
    <w:qFormat/>
    <w:rsid w:val="00C1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5750"/>
    <w:rPr>
      <w:i/>
      <w:iCs/>
      <w:color w:val="0F4761" w:themeColor="accent1" w:themeShade="BF"/>
      <w:lang w:val="en-GB"/>
    </w:rPr>
  </w:style>
  <w:style w:type="character" w:styleId="Rfrenceintense">
    <w:name w:val="Intense Reference"/>
    <w:basedOn w:val="Policepardfaut"/>
    <w:uiPriority w:val="32"/>
    <w:qFormat/>
    <w:rsid w:val="00C15750"/>
    <w:rPr>
      <w:b/>
      <w:bCs/>
      <w:smallCaps/>
      <w:color w:val="0F4761" w:themeColor="accent1" w:themeShade="BF"/>
      <w:spacing w:val="5"/>
    </w:rPr>
  </w:style>
  <w:style w:type="character" w:styleId="Rfrencelgre">
    <w:name w:val="Subtle Reference"/>
    <w:basedOn w:val="Policepardfaut"/>
    <w:uiPriority w:val="31"/>
    <w:qFormat/>
    <w:rsid w:val="0099238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909">
      <w:bodyDiv w:val="1"/>
      <w:marLeft w:val="0"/>
      <w:marRight w:val="0"/>
      <w:marTop w:val="0"/>
      <w:marBottom w:val="0"/>
      <w:divBdr>
        <w:top w:val="none" w:sz="0" w:space="0" w:color="auto"/>
        <w:left w:val="none" w:sz="0" w:space="0" w:color="auto"/>
        <w:bottom w:val="none" w:sz="0" w:space="0" w:color="auto"/>
        <w:right w:val="none" w:sz="0" w:space="0" w:color="auto"/>
      </w:divBdr>
    </w:div>
    <w:div w:id="340401420">
      <w:bodyDiv w:val="1"/>
      <w:marLeft w:val="0"/>
      <w:marRight w:val="0"/>
      <w:marTop w:val="0"/>
      <w:marBottom w:val="0"/>
      <w:divBdr>
        <w:top w:val="none" w:sz="0" w:space="0" w:color="auto"/>
        <w:left w:val="none" w:sz="0" w:space="0" w:color="auto"/>
        <w:bottom w:val="none" w:sz="0" w:space="0" w:color="auto"/>
        <w:right w:val="none" w:sz="0" w:space="0" w:color="auto"/>
      </w:divBdr>
    </w:div>
    <w:div w:id="718894603">
      <w:bodyDiv w:val="1"/>
      <w:marLeft w:val="0"/>
      <w:marRight w:val="0"/>
      <w:marTop w:val="0"/>
      <w:marBottom w:val="0"/>
      <w:divBdr>
        <w:top w:val="none" w:sz="0" w:space="0" w:color="auto"/>
        <w:left w:val="none" w:sz="0" w:space="0" w:color="auto"/>
        <w:bottom w:val="none" w:sz="0" w:space="0" w:color="auto"/>
        <w:right w:val="none" w:sz="0" w:space="0" w:color="auto"/>
      </w:divBdr>
    </w:div>
    <w:div w:id="727845061">
      <w:bodyDiv w:val="1"/>
      <w:marLeft w:val="0"/>
      <w:marRight w:val="0"/>
      <w:marTop w:val="0"/>
      <w:marBottom w:val="0"/>
      <w:divBdr>
        <w:top w:val="none" w:sz="0" w:space="0" w:color="auto"/>
        <w:left w:val="none" w:sz="0" w:space="0" w:color="auto"/>
        <w:bottom w:val="none" w:sz="0" w:space="0" w:color="auto"/>
        <w:right w:val="none" w:sz="0" w:space="0" w:color="auto"/>
      </w:divBdr>
    </w:div>
    <w:div w:id="1029649495">
      <w:bodyDiv w:val="1"/>
      <w:marLeft w:val="0"/>
      <w:marRight w:val="0"/>
      <w:marTop w:val="0"/>
      <w:marBottom w:val="0"/>
      <w:divBdr>
        <w:top w:val="none" w:sz="0" w:space="0" w:color="auto"/>
        <w:left w:val="none" w:sz="0" w:space="0" w:color="auto"/>
        <w:bottom w:val="none" w:sz="0" w:space="0" w:color="auto"/>
        <w:right w:val="none" w:sz="0" w:space="0" w:color="auto"/>
      </w:divBdr>
      <w:divsChild>
        <w:div w:id="166712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1991</Words>
  <Characters>10952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Brachotte</dc:creator>
  <cp:keywords/>
  <dc:description/>
  <cp:lastModifiedBy>Sandrine Brachotte</cp:lastModifiedBy>
  <cp:revision>3</cp:revision>
  <dcterms:created xsi:type="dcterms:W3CDTF">2024-10-15T16:32:00Z</dcterms:created>
  <dcterms:modified xsi:type="dcterms:W3CDTF">2025-09-29T15:44:00Z</dcterms:modified>
</cp:coreProperties>
</file>