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CC" w:rsidRPr="00C10CE3" w:rsidRDefault="00534436" w:rsidP="00F75545">
      <w:pPr>
        <w:jc w:val="center"/>
      </w:pPr>
      <w:r w:rsidRPr="00C10CE3">
        <w:rPr>
          <w:lang w:eastAsia="fr-BE"/>
        </w:rPr>
        <mc:AlternateContent>
          <mc:Choice Requires="wps">
            <w:drawing>
              <wp:anchor distT="0" distB="0" distL="114300" distR="114300" simplePos="0" relativeHeight="251659264" behindDoc="1" locked="0" layoutInCell="0" allowOverlap="1" wp14:anchorId="0480C45B" wp14:editId="5AF97BB2">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436" w:rsidRPr="00534436" w:rsidRDefault="00534436" w:rsidP="00534436">
                            <w:pPr>
                              <w:jc w:val="center"/>
                              <w:rPr>
                                <w:rFonts w:ascii="Arial" w:hAnsi="Arial" w:cs="Arial"/>
                                <w:b/>
                                <w:sz w:val="48"/>
                              </w:rPr>
                            </w:pPr>
                            <w:r w:rsidRPr="00534436">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17"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v:textbox>
                  <w:txbxContent>
                    <w:p w:rsidRPr="00534436" w:rsidR="00534436" w:rsidP="00534436" w:rsidRDefault="00534436">
                      <w:pPr>
                        <w:jc w:val="center"/>
                        <w:rPr>
                          <w:rFonts w:ascii="Arial" w:hAnsi="Arial" w:cs="Arial"/>
                          <w:b/>
                          <w:sz w:val="48"/>
                        </w:rPr>
                      </w:pPr>
                      <w:r w:rsidRPr="00534436">
                        <w:rPr>
                          <w:rFonts w:ascii="Arial" w:hAnsi="Arial"/>
                          <w:b/>
                          <w:sz w:val="48"/>
                        </w:rPr>
                        <w:t>FR</w:t>
                      </w:r>
                    </w:p>
                  </w:txbxContent>
                </v:textbox>
                <w10:wrap anchorx="page" anchory="page"/>
              </v:shape>
            </w:pict>
          </mc:Fallback>
        </mc:AlternateContent>
      </w:r>
      <w:r w:rsidR="006F0DCC" w:rsidRPr="00C10CE3">
        <w:rPr>
          <w:lang w:eastAsia="fr-BE"/>
        </w:rPr>
        <w:drawing>
          <wp:inline distT="0" distB="0" distL="0" distR="0" wp14:anchorId="300B550D" wp14:editId="3DCA9117">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rsidR="00563C84" w:rsidRPr="00C10CE3" w:rsidRDefault="006F0DCC" w:rsidP="00F75545">
      <w:pPr>
        <w:jc w:val="center"/>
      </w:pPr>
      <w:r w:rsidRPr="00C10CE3">
        <w:rPr>
          <w:rFonts w:ascii="Arial" w:hAnsi="Arial"/>
          <w:b/>
          <w:i/>
          <w:sz w:val="20"/>
        </w:rPr>
        <w:t>Comité économique et social européen</w:t>
      </w:r>
    </w:p>
    <w:p w:rsidR="00646AC2" w:rsidRPr="00C10CE3" w:rsidRDefault="00646AC2" w:rsidP="00F75545"/>
    <w:p w:rsidR="00646AC2" w:rsidRPr="00C10CE3" w:rsidRDefault="00965D09" w:rsidP="00F75545">
      <w:pPr>
        <w:jc w:val="right"/>
      </w:pPr>
      <w:r w:rsidRPr="00C10CE3">
        <w:rPr>
          <w:b/>
        </w:rPr>
        <w:t>NAT</w:t>
      </w:r>
      <w:r w:rsidR="00CB5077" w:rsidRPr="00C10CE3">
        <w:rPr>
          <w:b/>
        </w:rPr>
        <w:t>/</w:t>
      </w:r>
      <w:r w:rsidRPr="00C10CE3">
        <w:rPr>
          <w:b/>
        </w:rPr>
        <w:t>685</w:t>
      </w:r>
    </w:p>
    <w:p w:rsidR="00563C84" w:rsidRPr="00C10CE3" w:rsidRDefault="00965D09" w:rsidP="00965D09">
      <w:pPr>
        <w:jc w:val="right"/>
      </w:pPr>
      <w:r w:rsidRPr="00C10CE3">
        <w:rPr>
          <w:b/>
        </w:rPr>
        <w:t>Pour la prise en compte</w:t>
      </w:r>
      <w:r w:rsidR="00534436" w:rsidRPr="00C10CE3">
        <w:rPr>
          <w:b/>
        </w:rPr>
        <w:t xml:space="preserve"> </w:t>
      </w:r>
      <w:r w:rsidR="00392247" w:rsidRPr="00C10CE3">
        <w:rPr>
          <w:b/>
        </w:rPr>
        <w:br/>
      </w:r>
      <w:r w:rsidRPr="00C10CE3">
        <w:rPr>
          <w:b/>
        </w:rPr>
        <w:t>du «nudge» dans les politiques européennes</w:t>
      </w:r>
    </w:p>
    <w:p w:rsidR="009B30AA" w:rsidRPr="00C10CE3" w:rsidRDefault="009B30AA" w:rsidP="00F75545"/>
    <w:p w:rsidR="009B30AA" w:rsidRPr="00C10CE3" w:rsidRDefault="009B30AA" w:rsidP="00F75545"/>
    <w:p w:rsidR="00646AC2" w:rsidRPr="00C10CE3" w:rsidRDefault="008C3049" w:rsidP="00F75545">
      <w:pPr>
        <w:jc w:val="center"/>
      </w:pPr>
      <w:r w:rsidRPr="00C10CE3">
        <w:rPr>
          <w:b/>
          <w:sz w:val="28"/>
        </w:rPr>
        <w:t xml:space="preserve">AVIS </w:t>
      </w:r>
      <w:r w:rsidRPr="00C10CE3">
        <w:rPr>
          <w:b/>
          <w:sz w:val="28"/>
        </w:rPr>
        <w:br/>
      </w:r>
      <w:r w:rsidR="00BE477B" w:rsidRPr="00C10CE3">
        <w:t>Comité économique et social européen</w:t>
      </w:r>
      <w:r w:rsidR="00BE477B" w:rsidRPr="00C10CE3" w:rsidDel="00BE477B">
        <w:t xml:space="preserve"> </w:t>
      </w:r>
      <w:r w:rsidRPr="00C10CE3">
        <w:br/>
      </w:r>
      <w:r w:rsidRPr="00C10CE3">
        <w:rPr>
          <w:b/>
        </w:rPr>
        <w:t xml:space="preserve"> </w:t>
      </w:r>
      <w:r w:rsidRPr="00C10CE3">
        <w:rPr>
          <w:b/>
        </w:rPr>
        <w:br/>
      </w:r>
      <w:r w:rsidR="00965D09" w:rsidRPr="00C10CE3">
        <w:rPr>
          <w:b/>
        </w:rPr>
        <w:t>Pour la prise en compte du «nudge» dans les politiques européennes</w:t>
      </w:r>
      <w:r w:rsidRPr="00C10CE3">
        <w:rPr>
          <w:b/>
        </w:rPr>
        <w:br/>
      </w:r>
      <w:r w:rsidR="00965D09" w:rsidRPr="00C10CE3">
        <w:t>(avis d</w:t>
      </w:r>
      <w:r w:rsidR="005B2BBC" w:rsidRPr="00C10CE3">
        <w:t>’</w:t>
      </w:r>
      <w:r w:rsidR="00965D09" w:rsidRPr="00C10CE3">
        <w:t>initiative)</w:t>
      </w:r>
    </w:p>
    <w:p w:rsidR="009B30AA" w:rsidRPr="00C10CE3" w:rsidRDefault="009B30AA" w:rsidP="00F75545">
      <w:pPr>
        <w:jc w:val="center"/>
      </w:pPr>
    </w:p>
    <w:p w:rsidR="00704FBB" w:rsidRPr="00C10CE3" w:rsidRDefault="00965D09" w:rsidP="00F75545">
      <w:pPr>
        <w:jc w:val="center"/>
        <w:rPr>
          <w:b/>
        </w:rPr>
      </w:pPr>
      <w:r w:rsidRPr="00C10CE3">
        <w:t>Rapporteur</w:t>
      </w:r>
      <w:r w:rsidR="007F5E0D" w:rsidRPr="00C10CE3">
        <w:t xml:space="preserve">: </w:t>
      </w:r>
      <w:r w:rsidRPr="00C10CE3">
        <w:rPr>
          <w:b/>
        </w:rPr>
        <w:t>Thierry LIBAERT</w:t>
      </w:r>
    </w:p>
    <w:p w:rsidR="00A75C9C" w:rsidRPr="00C10CE3" w:rsidRDefault="00A75C9C" w:rsidP="00F75545"/>
    <w:p w:rsidR="003529B9" w:rsidRPr="00C10CE3" w:rsidRDefault="003529B9" w:rsidP="00F75545"/>
    <w:p w:rsidR="00A75C9C" w:rsidRPr="00C10CE3" w:rsidRDefault="00A75C9C" w:rsidP="00534436">
      <w:pPr>
        <w:sectPr w:rsidR="00A75C9C" w:rsidRPr="00C10CE3" w:rsidSect="00076022">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9720CB" w:rsidRPr="00C10CE3" w:rsidTr="00CD4855">
        <w:trPr>
          <w:trHeight w:val="250"/>
        </w:trPr>
        <w:tc>
          <w:tcPr>
            <w:tcW w:w="3085" w:type="dxa"/>
          </w:tcPr>
          <w:p w:rsidR="009720CB" w:rsidRPr="00C10CE3" w:rsidRDefault="004D31D5" w:rsidP="0010715C">
            <w:pPr>
              <w:jc w:val="left"/>
            </w:pPr>
            <w:bookmarkStart w:id="0" w:name="_GoBack"/>
            <w:bookmarkEnd w:id="0"/>
            <w:r w:rsidRPr="00C10CE3">
              <w:rPr>
                <w:bCs/>
              </w:rPr>
              <w:lastRenderedPageBreak/>
              <w:t>Décision de l</w:t>
            </w:r>
            <w:r w:rsidR="005B2BBC" w:rsidRPr="00C10CE3">
              <w:rPr>
                <w:bCs/>
              </w:rPr>
              <w:t>’</w:t>
            </w:r>
            <w:r w:rsidRPr="00C10CE3">
              <w:rPr>
                <w:bCs/>
              </w:rPr>
              <w:t>assemblée plénière</w:t>
            </w:r>
          </w:p>
        </w:tc>
        <w:tc>
          <w:tcPr>
            <w:tcW w:w="6204" w:type="dxa"/>
          </w:tcPr>
          <w:p w:rsidR="009720CB" w:rsidRPr="00C10CE3" w:rsidRDefault="00E40D52" w:rsidP="00534436">
            <w:r w:rsidRPr="00C10CE3">
              <w:t>21/01/2016</w:t>
            </w:r>
          </w:p>
        </w:tc>
      </w:tr>
      <w:tr w:rsidR="00243E36" w:rsidRPr="00C10CE3" w:rsidTr="00CD4855">
        <w:tc>
          <w:tcPr>
            <w:tcW w:w="3085" w:type="dxa"/>
          </w:tcPr>
          <w:p w:rsidR="00243E36" w:rsidRPr="00C10CE3" w:rsidRDefault="00243E36" w:rsidP="00534436">
            <w:r w:rsidRPr="00C10CE3">
              <w:t>Base juridique</w:t>
            </w:r>
          </w:p>
        </w:tc>
        <w:tc>
          <w:tcPr>
            <w:tcW w:w="6204" w:type="dxa"/>
          </w:tcPr>
          <w:p w:rsidR="00243E36" w:rsidRPr="00C10CE3" w:rsidRDefault="00243E36" w:rsidP="00534436">
            <w:r w:rsidRPr="00C10CE3">
              <w:t>Article 29, paragraphe 2, du règlement intérieur</w:t>
            </w:r>
          </w:p>
        </w:tc>
      </w:tr>
      <w:tr w:rsidR="00243E36" w:rsidRPr="00C10CE3" w:rsidTr="00CD4855">
        <w:tc>
          <w:tcPr>
            <w:tcW w:w="3085" w:type="dxa"/>
          </w:tcPr>
          <w:p w:rsidR="00243E36" w:rsidRPr="00C10CE3" w:rsidRDefault="00243E36" w:rsidP="00534436"/>
        </w:tc>
        <w:tc>
          <w:tcPr>
            <w:tcW w:w="6204" w:type="dxa"/>
          </w:tcPr>
          <w:p w:rsidR="00243E36" w:rsidRPr="00C10CE3" w:rsidRDefault="00243E36" w:rsidP="00534436">
            <w:r w:rsidRPr="00C10CE3">
              <w:t>Avis d</w:t>
            </w:r>
            <w:r w:rsidR="005B2BBC" w:rsidRPr="00C10CE3">
              <w:t>’</w:t>
            </w:r>
            <w:r w:rsidRPr="00C10CE3">
              <w:t>initiative</w:t>
            </w:r>
          </w:p>
        </w:tc>
      </w:tr>
      <w:tr w:rsidR="00BA1290" w:rsidRPr="00C10CE3" w:rsidTr="001D79CF">
        <w:tc>
          <w:tcPr>
            <w:tcW w:w="3085" w:type="dxa"/>
          </w:tcPr>
          <w:p w:rsidR="00BA1290" w:rsidRPr="00C10CE3" w:rsidRDefault="00BA1290" w:rsidP="00534436"/>
        </w:tc>
        <w:tc>
          <w:tcPr>
            <w:tcW w:w="6204" w:type="dxa"/>
          </w:tcPr>
          <w:p w:rsidR="00BA1290" w:rsidRPr="00C10CE3" w:rsidRDefault="00BA1290" w:rsidP="00534436"/>
        </w:tc>
      </w:tr>
      <w:tr w:rsidR="00DF5B64" w:rsidRPr="00C10CE3" w:rsidTr="00CD4855">
        <w:tc>
          <w:tcPr>
            <w:tcW w:w="3085" w:type="dxa"/>
          </w:tcPr>
          <w:p w:rsidR="00DF5B64" w:rsidRPr="00C10CE3" w:rsidRDefault="00AD4B4F" w:rsidP="00534436">
            <w:r w:rsidRPr="00C10CE3">
              <w:t>Compétence</w:t>
            </w:r>
          </w:p>
        </w:tc>
        <w:tc>
          <w:tcPr>
            <w:tcW w:w="6204" w:type="dxa"/>
          </w:tcPr>
          <w:p w:rsidR="00DF5B64" w:rsidRPr="00C10CE3" w:rsidRDefault="00385800" w:rsidP="00534436">
            <w:r w:rsidRPr="00C10CE3">
              <w:t>S</w:t>
            </w:r>
            <w:r w:rsidR="00672827" w:rsidRPr="00C10CE3">
              <w:t>ection spécialisée «Agriculture, développement rural et environnement»</w:t>
            </w:r>
          </w:p>
        </w:tc>
      </w:tr>
      <w:tr w:rsidR="00A156E6" w:rsidRPr="00C10CE3" w:rsidTr="00CD4855">
        <w:tc>
          <w:tcPr>
            <w:tcW w:w="3085" w:type="dxa"/>
          </w:tcPr>
          <w:p w:rsidR="00A156E6" w:rsidRPr="00C10CE3" w:rsidRDefault="00A156E6" w:rsidP="00534436">
            <w:r w:rsidRPr="00C10CE3">
              <w:t>Adoption en section spécialisée</w:t>
            </w:r>
          </w:p>
        </w:tc>
        <w:tc>
          <w:tcPr>
            <w:tcW w:w="6204" w:type="dxa"/>
          </w:tcPr>
          <w:p w:rsidR="00A156E6" w:rsidRPr="00C10CE3" w:rsidRDefault="00BE332A" w:rsidP="00534436">
            <w:r w:rsidRPr="00C10CE3">
              <w:t>24/11/2016</w:t>
            </w:r>
          </w:p>
        </w:tc>
      </w:tr>
      <w:tr w:rsidR="00A156E6" w:rsidRPr="00C10CE3" w:rsidTr="00CD4855">
        <w:tc>
          <w:tcPr>
            <w:tcW w:w="3085" w:type="dxa"/>
          </w:tcPr>
          <w:p w:rsidR="00A156E6" w:rsidRPr="00C10CE3" w:rsidRDefault="00A156E6" w:rsidP="00534436">
            <w:r w:rsidRPr="00C10CE3">
              <w:t>Adoption en session plénière</w:t>
            </w:r>
          </w:p>
        </w:tc>
        <w:tc>
          <w:tcPr>
            <w:tcW w:w="6204" w:type="dxa"/>
          </w:tcPr>
          <w:p w:rsidR="00A156E6" w:rsidRPr="00C10CE3" w:rsidRDefault="00BE477B" w:rsidP="00534436">
            <w:r w:rsidRPr="00C10CE3">
              <w:t>15</w:t>
            </w:r>
            <w:r w:rsidR="003439AB" w:rsidRPr="00C10CE3">
              <w:t>/</w:t>
            </w:r>
            <w:r w:rsidRPr="00C10CE3">
              <w:t>12</w:t>
            </w:r>
            <w:r w:rsidR="003439AB" w:rsidRPr="00C10CE3">
              <w:t>/</w:t>
            </w:r>
            <w:r w:rsidRPr="00C10CE3">
              <w:t>2016</w:t>
            </w:r>
          </w:p>
        </w:tc>
      </w:tr>
      <w:tr w:rsidR="00BA1290" w:rsidRPr="00C10CE3" w:rsidTr="001D79CF">
        <w:tc>
          <w:tcPr>
            <w:tcW w:w="3085" w:type="dxa"/>
          </w:tcPr>
          <w:p w:rsidR="00BA1290" w:rsidRPr="00C10CE3" w:rsidRDefault="00BA1290" w:rsidP="00534436">
            <w:r w:rsidRPr="00C10CE3">
              <w:t>Session plénière n°</w:t>
            </w:r>
          </w:p>
        </w:tc>
        <w:tc>
          <w:tcPr>
            <w:tcW w:w="6204" w:type="dxa"/>
          </w:tcPr>
          <w:p w:rsidR="00BA1290" w:rsidRPr="00C10CE3" w:rsidRDefault="00E40D52" w:rsidP="00534436">
            <w:r w:rsidRPr="00C10CE3">
              <w:t>521</w:t>
            </w:r>
          </w:p>
        </w:tc>
      </w:tr>
      <w:tr w:rsidR="00A156E6" w:rsidRPr="00C10CE3" w:rsidTr="00C94856">
        <w:tc>
          <w:tcPr>
            <w:tcW w:w="3085" w:type="dxa"/>
          </w:tcPr>
          <w:p w:rsidR="00D423D4" w:rsidRPr="00C10CE3" w:rsidRDefault="0043024C" w:rsidP="0010715C">
            <w:pPr>
              <w:jc w:val="left"/>
            </w:pPr>
            <w:r w:rsidRPr="00C10CE3">
              <w:t xml:space="preserve">Résultat du vote </w:t>
            </w:r>
            <w:r w:rsidRPr="00C10CE3">
              <w:br/>
              <w:t>(pour/contre/abstentions)</w:t>
            </w:r>
          </w:p>
        </w:tc>
        <w:tc>
          <w:tcPr>
            <w:tcW w:w="6204" w:type="dxa"/>
            <w:vAlign w:val="bottom"/>
          </w:tcPr>
          <w:p w:rsidR="00A156E6" w:rsidRPr="00C10CE3" w:rsidRDefault="009E3125" w:rsidP="009E3125">
            <w:r w:rsidRPr="00C10CE3">
              <w:t>162</w:t>
            </w:r>
            <w:r w:rsidR="00A156E6" w:rsidRPr="00C10CE3">
              <w:t>/</w:t>
            </w:r>
            <w:r w:rsidR="00BE477B" w:rsidRPr="00C10CE3">
              <w:t>3</w:t>
            </w:r>
            <w:r w:rsidR="00A156E6" w:rsidRPr="00C10CE3">
              <w:t>/</w:t>
            </w:r>
            <w:r w:rsidR="00BE477B" w:rsidRPr="00C10CE3">
              <w:t>3</w:t>
            </w:r>
          </w:p>
        </w:tc>
      </w:tr>
    </w:tbl>
    <w:p w:rsidR="0090053A" w:rsidRPr="00C10CE3" w:rsidRDefault="0090053A" w:rsidP="00F75545"/>
    <w:p w:rsidR="00646AC2" w:rsidRPr="00C10CE3" w:rsidRDefault="00646AC2" w:rsidP="00F75545">
      <w:r w:rsidRPr="00C10CE3">
        <w:br w:type="page"/>
      </w:r>
    </w:p>
    <w:p w:rsidR="00B23FDC" w:rsidRPr="00C10CE3" w:rsidRDefault="00B23FDC" w:rsidP="0085715F">
      <w:pPr>
        <w:numPr>
          <w:ilvl w:val="0"/>
          <w:numId w:val="1"/>
        </w:numPr>
        <w:ind w:left="567" w:hanging="567"/>
        <w:outlineLvl w:val="0"/>
        <w:rPr>
          <w:kern w:val="28"/>
        </w:rPr>
      </w:pPr>
      <w:r w:rsidRPr="00C10CE3">
        <w:rPr>
          <w:b/>
          <w:kern w:val="28"/>
        </w:rPr>
        <w:lastRenderedPageBreak/>
        <w:t>Conclusions et recommandations</w:t>
      </w:r>
    </w:p>
    <w:p w:rsidR="00B23FDC" w:rsidRPr="00C10CE3" w:rsidRDefault="00B23FDC" w:rsidP="00B23FDC"/>
    <w:p w:rsidR="00B23FDC" w:rsidRPr="00C10CE3" w:rsidRDefault="00B23FDC" w:rsidP="0085715F">
      <w:pPr>
        <w:numPr>
          <w:ilvl w:val="1"/>
          <w:numId w:val="1"/>
        </w:numPr>
        <w:ind w:left="567" w:hanging="567"/>
        <w:outlineLvl w:val="1"/>
      </w:pPr>
      <w:r w:rsidRPr="00C10CE3">
        <w:t xml:space="preserve">Les </w:t>
      </w:r>
      <w:r w:rsidRPr="00C10CE3">
        <w:rPr>
          <w:i/>
        </w:rPr>
        <w:t>nudges</w:t>
      </w:r>
      <w:r w:rsidRPr="00C10CE3">
        <w:t xml:space="preserve"> apparaissent comme un outil de politique publique complémentaire à ceux déjà utilisés par les pouvoirs publics européens (l</w:t>
      </w:r>
      <w:r w:rsidR="005B2BBC" w:rsidRPr="00C10CE3">
        <w:t>’</w:t>
      </w:r>
      <w:r w:rsidRPr="00C10CE3">
        <w:t>information et la sensibilisation, l</w:t>
      </w:r>
      <w:r w:rsidR="005B2BBC" w:rsidRPr="00C10CE3">
        <w:t>’</w:t>
      </w:r>
      <w:r w:rsidRPr="00C10CE3">
        <w:t>incitation financière, la législation et l</w:t>
      </w:r>
      <w:r w:rsidR="005B2BBC" w:rsidRPr="00C10CE3">
        <w:t>’</w:t>
      </w:r>
      <w:r w:rsidRPr="00C10CE3">
        <w:t>exemplarité). Ils apparaissent pourtant comme un outil particulièrement intéressant pour répondre à certains défis sociaux, environnementaux et économiques.</w:t>
      </w:r>
    </w:p>
    <w:p w:rsidR="00B23FDC" w:rsidRPr="00C10CE3" w:rsidRDefault="00B23FDC" w:rsidP="00B23FDC"/>
    <w:p w:rsidR="00B23FDC" w:rsidRPr="00C10CE3" w:rsidRDefault="00B23FDC" w:rsidP="0085715F">
      <w:pPr>
        <w:numPr>
          <w:ilvl w:val="1"/>
          <w:numId w:val="1"/>
        </w:numPr>
        <w:ind w:left="567" w:hanging="567"/>
        <w:outlineLvl w:val="1"/>
      </w:pPr>
      <w:r w:rsidRPr="00C10CE3">
        <w:rPr>
          <w:b/>
        </w:rPr>
        <w:t>Encourager l</w:t>
      </w:r>
      <w:r w:rsidR="005B2BBC" w:rsidRPr="00C10CE3">
        <w:rPr>
          <w:b/>
        </w:rPr>
        <w:t>’</w:t>
      </w:r>
      <w:r w:rsidRPr="00C10CE3">
        <w:rPr>
          <w:b/>
        </w:rPr>
        <w:t xml:space="preserve">utilisation des </w:t>
      </w:r>
      <w:r w:rsidRPr="00C10CE3">
        <w:rPr>
          <w:b/>
          <w:i/>
        </w:rPr>
        <w:t>nudges</w:t>
      </w:r>
      <w:r w:rsidRPr="00C10CE3">
        <w:rPr>
          <w:b/>
        </w:rPr>
        <w:t xml:space="preserve"> dans les politiques publiques</w:t>
      </w:r>
      <w:r w:rsidRPr="00C10CE3">
        <w:t xml:space="preserve"> en complément des outils traditionnels, et notamment le changement d</w:t>
      </w:r>
      <w:r w:rsidR="005B2BBC" w:rsidRPr="00C10CE3">
        <w:t>’</w:t>
      </w:r>
      <w:r w:rsidRPr="00C10CE3">
        <w:t>approche qu</w:t>
      </w:r>
      <w:r w:rsidR="005B2BBC" w:rsidRPr="00C10CE3">
        <w:t>’</w:t>
      </w:r>
      <w:r w:rsidRPr="00C10CE3">
        <w:t xml:space="preserve">ils proposent pour les comportements individuels. Les </w:t>
      </w:r>
      <w:r w:rsidRPr="00C10CE3">
        <w:rPr>
          <w:i/>
        </w:rPr>
        <w:t>nudges</w:t>
      </w:r>
      <w:r w:rsidRPr="00C10CE3">
        <w:t xml:space="preserve"> pourraient ainsi être intégrés dans le cadre de politiques publiques globales et accélérer leur mise en œuvre à moindre coût. Leur souplesse et leur simplicité les rendent utilisables dans différents contextes et par différentes catégories d</w:t>
      </w:r>
      <w:r w:rsidR="005B2BBC" w:rsidRPr="00C10CE3">
        <w:t>’</w:t>
      </w:r>
      <w:r w:rsidRPr="00C10CE3">
        <w:t>acteurs de manière simultanée: par un organisme intergouvernemental; dans le cadre d</w:t>
      </w:r>
      <w:r w:rsidR="005B2BBC" w:rsidRPr="00C10CE3">
        <w:t>’</w:t>
      </w:r>
      <w:r w:rsidRPr="00C10CE3">
        <w:t>unités internes à chaque ministère; par les collectivités territoriales; par des ONG; par des acteurs privés, etc.</w:t>
      </w:r>
    </w:p>
    <w:p w:rsidR="00B23FDC" w:rsidRPr="00C10CE3" w:rsidRDefault="00B23FDC" w:rsidP="00B23FDC"/>
    <w:p w:rsidR="00B23FDC" w:rsidRPr="00C10CE3" w:rsidRDefault="00B23FDC" w:rsidP="0085715F">
      <w:pPr>
        <w:numPr>
          <w:ilvl w:val="1"/>
          <w:numId w:val="1"/>
        </w:numPr>
        <w:ind w:left="567" w:hanging="567"/>
        <w:outlineLvl w:val="1"/>
      </w:pPr>
      <w:r w:rsidRPr="00C10CE3">
        <w:rPr>
          <w:b/>
        </w:rPr>
        <w:t xml:space="preserve">Privilégier en particulier les </w:t>
      </w:r>
      <w:r w:rsidRPr="00C10CE3">
        <w:rPr>
          <w:b/>
          <w:i/>
        </w:rPr>
        <w:t>nudges</w:t>
      </w:r>
      <w:r w:rsidRPr="00C10CE3">
        <w:rPr>
          <w:b/>
        </w:rPr>
        <w:t xml:space="preserve"> qui répondent à des objectifs environnementaux, sociaux, etc. </w:t>
      </w:r>
      <w:r w:rsidRPr="00C10CE3">
        <w:t>(transition énergétique/écologique, lutte contre le gaspillage de ressources, bien-être social, amélioration de l</w:t>
      </w:r>
      <w:r w:rsidR="005B2BBC" w:rsidRPr="00C10CE3">
        <w:t>’</w:t>
      </w:r>
      <w:r w:rsidRPr="00C10CE3">
        <w:t xml:space="preserve">état de santé de la population, etc.). </w:t>
      </w:r>
      <w:r w:rsidRPr="00C10CE3">
        <w:rPr>
          <w:rFonts w:eastAsia="Arial Unicode MS"/>
        </w:rPr>
        <w:t>Ils peuvent ainsi s</w:t>
      </w:r>
      <w:r w:rsidR="005B2BBC" w:rsidRPr="00C10CE3">
        <w:rPr>
          <w:rFonts w:eastAsia="Arial Unicode MS"/>
        </w:rPr>
        <w:t>’</w:t>
      </w:r>
      <w:r w:rsidRPr="00C10CE3">
        <w:rPr>
          <w:rFonts w:eastAsia="Arial Unicode MS"/>
        </w:rPr>
        <w:t>inscrire dans le cadre de mesures répondant à des objectifs collectifs prédéfinis, mais pour lesquels les outils traditionnels des politiques publiques se révèlent inefficaces et/ou trop coûteux.</w:t>
      </w:r>
    </w:p>
    <w:p w:rsidR="00B23FDC" w:rsidRPr="00C10CE3" w:rsidRDefault="00B23FDC" w:rsidP="00B23FDC"/>
    <w:p w:rsidR="00B23FDC" w:rsidRPr="00C10CE3" w:rsidRDefault="00B23FDC" w:rsidP="0085715F">
      <w:pPr>
        <w:numPr>
          <w:ilvl w:val="1"/>
          <w:numId w:val="1"/>
        </w:numPr>
        <w:ind w:left="567" w:hanging="567"/>
        <w:outlineLvl w:val="1"/>
      </w:pPr>
      <w:r w:rsidRPr="00C10CE3">
        <w:rPr>
          <w:b/>
        </w:rPr>
        <w:t>Favoriser l</w:t>
      </w:r>
      <w:r w:rsidR="005B2BBC" w:rsidRPr="00C10CE3">
        <w:rPr>
          <w:b/>
        </w:rPr>
        <w:t>’</w:t>
      </w:r>
      <w:r w:rsidRPr="00C10CE3">
        <w:rPr>
          <w:b/>
        </w:rPr>
        <w:t>échange d</w:t>
      </w:r>
      <w:r w:rsidR="005B2BBC" w:rsidRPr="00C10CE3">
        <w:rPr>
          <w:b/>
        </w:rPr>
        <w:t>’</w:t>
      </w:r>
      <w:r w:rsidRPr="00C10CE3">
        <w:rPr>
          <w:b/>
        </w:rPr>
        <w:t xml:space="preserve">informations et de bonnes pratiques sur les </w:t>
      </w:r>
      <w:r w:rsidRPr="00C10CE3">
        <w:rPr>
          <w:b/>
          <w:i/>
        </w:rPr>
        <w:t>nudges</w:t>
      </w:r>
      <w:r w:rsidRPr="00C10CE3">
        <w:t xml:space="preserve"> entre toutes les catégories d</w:t>
      </w:r>
      <w:r w:rsidR="005B2BBC" w:rsidRPr="00C10CE3">
        <w:t>’</w:t>
      </w:r>
      <w:r w:rsidRPr="00C10CE3">
        <w:t>acteurs potentiellement concernés (pouvoirs publics, collectivités, entreprises, associations, ONG…) au niveau européen. Une plate-forme recensant les initiatives et/ou un observatoire dédié pourraient être envisagés.</w:t>
      </w:r>
    </w:p>
    <w:p w:rsidR="00B23FDC" w:rsidRPr="00C10CE3" w:rsidRDefault="00B23FDC" w:rsidP="00B23FDC"/>
    <w:p w:rsidR="00B23FDC" w:rsidRPr="00C10CE3" w:rsidRDefault="00B23FDC" w:rsidP="0085715F">
      <w:pPr>
        <w:numPr>
          <w:ilvl w:val="1"/>
          <w:numId w:val="1"/>
        </w:numPr>
        <w:ind w:left="567" w:hanging="567"/>
        <w:outlineLvl w:val="1"/>
      </w:pPr>
      <w:r w:rsidRPr="00C10CE3">
        <w:rPr>
          <w:b/>
        </w:rPr>
        <w:t xml:space="preserve">Étudier de manière plus approfondie les impacts différenciés des </w:t>
      </w:r>
      <w:r w:rsidRPr="00C10CE3">
        <w:rPr>
          <w:b/>
          <w:i/>
        </w:rPr>
        <w:t>nudges</w:t>
      </w:r>
      <w:r w:rsidRPr="00C10CE3">
        <w:t xml:space="preserve"> selon les cultures, les profils socioéconomiques, les territoires… Ceci permettrait de mieux comprendre les avantages et limites de la diffusion et de la transposition des </w:t>
      </w:r>
      <w:r w:rsidRPr="00C10CE3">
        <w:rPr>
          <w:i/>
        </w:rPr>
        <w:t>nudges</w:t>
      </w:r>
      <w:r w:rsidRPr="00C10CE3">
        <w:t xml:space="preserve"> entre les pays, les secteurs, etc. En particulier, la question de la durée de l</w:t>
      </w:r>
      <w:r w:rsidR="005B2BBC" w:rsidRPr="00C10CE3">
        <w:t>’</w:t>
      </w:r>
      <w:r w:rsidRPr="00C10CE3">
        <w:t>impact des nudges sur les comportements mériterait de faire l</w:t>
      </w:r>
      <w:r w:rsidR="005B2BBC" w:rsidRPr="00C10CE3">
        <w:t>’</w:t>
      </w:r>
      <w:r w:rsidRPr="00C10CE3">
        <w:t>objet d</w:t>
      </w:r>
      <w:r w:rsidR="005B2BBC" w:rsidRPr="00C10CE3">
        <w:t>’</w:t>
      </w:r>
      <w:r w:rsidRPr="00C10CE3">
        <w:t>études plus approfondies.</w:t>
      </w:r>
    </w:p>
    <w:p w:rsidR="00B23FDC" w:rsidRPr="00C10CE3" w:rsidRDefault="00B23FDC" w:rsidP="00B23FDC"/>
    <w:p w:rsidR="00B23FDC" w:rsidRPr="00C10CE3" w:rsidRDefault="00B23FDC" w:rsidP="0085715F">
      <w:pPr>
        <w:numPr>
          <w:ilvl w:val="1"/>
          <w:numId w:val="1"/>
        </w:numPr>
        <w:ind w:left="567" w:hanging="567"/>
        <w:outlineLvl w:val="1"/>
      </w:pPr>
      <w:r w:rsidRPr="00C10CE3">
        <w:rPr>
          <w:b/>
        </w:rPr>
        <w:t>Identifier les conditions générales d</w:t>
      </w:r>
      <w:r w:rsidR="005B2BBC" w:rsidRPr="00C10CE3">
        <w:rPr>
          <w:b/>
        </w:rPr>
        <w:t>’</w:t>
      </w:r>
      <w:r w:rsidRPr="00C10CE3">
        <w:rPr>
          <w:b/>
        </w:rPr>
        <w:t xml:space="preserve">utilisation des </w:t>
      </w:r>
      <w:r w:rsidRPr="00C10CE3">
        <w:rPr>
          <w:b/>
          <w:i/>
        </w:rPr>
        <w:t>nudges</w:t>
      </w:r>
      <w:r w:rsidRPr="00C10CE3">
        <w:t xml:space="preserve"> permettant de réduire leurs impacts négatifs et garantissant leur acceptabilité éthique. Elles pourraient être regroupées au sein d</w:t>
      </w:r>
      <w:r w:rsidR="005B2BBC" w:rsidRPr="00C10CE3">
        <w:t>’</w:t>
      </w:r>
      <w:r w:rsidRPr="00C10CE3">
        <w:t>une charte de bonnes pratiques co-construite avec les différentes parties prenantes, et adoptée à l</w:t>
      </w:r>
      <w:r w:rsidR="005B2BBC" w:rsidRPr="00C10CE3">
        <w:t>’</w:t>
      </w:r>
      <w:r w:rsidRPr="00C10CE3">
        <w:t>échelle européenne puis déclinée par les pays membres. Un guide pourrait également être publié et distribué aux acteurs concernés.</w:t>
      </w:r>
    </w:p>
    <w:p w:rsidR="00B23FDC" w:rsidRPr="00C10CE3" w:rsidRDefault="00B23FDC" w:rsidP="00B23FDC"/>
    <w:p w:rsidR="00B23FDC" w:rsidRPr="00C10CE3" w:rsidRDefault="00B23FDC" w:rsidP="00E14C9A">
      <w:pPr>
        <w:numPr>
          <w:ilvl w:val="1"/>
          <w:numId w:val="1"/>
        </w:numPr>
        <w:ind w:left="567" w:hanging="567"/>
        <w:outlineLvl w:val="1"/>
      </w:pPr>
      <w:r w:rsidRPr="00C10CE3">
        <w:rPr>
          <w:b/>
        </w:rPr>
        <w:t>Mettre en place des procédures d</w:t>
      </w:r>
      <w:r w:rsidR="005B2BBC" w:rsidRPr="00C10CE3">
        <w:rPr>
          <w:b/>
        </w:rPr>
        <w:t>’</w:t>
      </w:r>
      <w:r w:rsidRPr="00C10CE3">
        <w:rPr>
          <w:b/>
        </w:rPr>
        <w:t>information</w:t>
      </w:r>
      <w:r w:rsidRPr="00C10CE3">
        <w:t xml:space="preserve"> sur l</w:t>
      </w:r>
      <w:r w:rsidR="005B2BBC" w:rsidRPr="00C10CE3">
        <w:t>’</w:t>
      </w:r>
      <w:r w:rsidRPr="00C10CE3">
        <w:t xml:space="preserve">utilisation des différents types de </w:t>
      </w:r>
      <w:r w:rsidRPr="00C10CE3">
        <w:rPr>
          <w:i/>
        </w:rPr>
        <w:t>nudges</w:t>
      </w:r>
      <w:r w:rsidRPr="00C10CE3">
        <w:t xml:space="preserve"> garantissant leur transparence pour les personnes «</w:t>
      </w:r>
      <w:r w:rsidRPr="00C10CE3">
        <w:rPr>
          <w:i/>
        </w:rPr>
        <w:t>nudgées</w:t>
      </w:r>
      <w:r w:rsidRPr="00C10CE3">
        <w:t>». Les nudges doivent être compris, discutés et partagés pour être acceptés au mieux. Ceci éviterait des «dérives» et des risques de manipulation dans l</w:t>
      </w:r>
      <w:r w:rsidR="005B2BBC" w:rsidRPr="00C10CE3">
        <w:t>’</w:t>
      </w:r>
      <w:r w:rsidRPr="00C10CE3">
        <w:t xml:space="preserve">utilisation des </w:t>
      </w:r>
      <w:r w:rsidRPr="00C10CE3">
        <w:rPr>
          <w:i/>
        </w:rPr>
        <w:t>nudges</w:t>
      </w:r>
      <w:r w:rsidRPr="00C10CE3">
        <w:t>.</w:t>
      </w:r>
    </w:p>
    <w:p w:rsidR="00B23FDC" w:rsidRPr="00C10CE3" w:rsidRDefault="00B23FDC" w:rsidP="00B23FDC">
      <w:pPr>
        <w:outlineLvl w:val="1"/>
      </w:pPr>
    </w:p>
    <w:p w:rsidR="00B23FDC" w:rsidRPr="00C10CE3" w:rsidRDefault="00B23FDC" w:rsidP="00E14C9A">
      <w:pPr>
        <w:keepNext/>
        <w:keepLines/>
        <w:numPr>
          <w:ilvl w:val="1"/>
          <w:numId w:val="1"/>
        </w:numPr>
        <w:ind w:left="567" w:hanging="567"/>
        <w:outlineLvl w:val="1"/>
      </w:pPr>
      <w:r w:rsidRPr="00C10CE3">
        <w:rPr>
          <w:b/>
        </w:rPr>
        <w:lastRenderedPageBreak/>
        <w:t xml:space="preserve">Assurer une réelle déontologie du </w:t>
      </w:r>
      <w:r w:rsidRPr="00C10CE3">
        <w:rPr>
          <w:b/>
          <w:i/>
        </w:rPr>
        <w:t>nudge</w:t>
      </w:r>
      <w:r w:rsidRPr="00C10CE3">
        <w:t xml:space="preserve"> afin d</w:t>
      </w:r>
      <w:r w:rsidR="005B2BBC" w:rsidRPr="00C10CE3">
        <w:t>’</w:t>
      </w:r>
      <w:r w:rsidRPr="00C10CE3">
        <w:t>éviter de le dévoyer vers des objectifs non responsables. La mise en place d</w:t>
      </w:r>
      <w:r w:rsidR="005B2BBC" w:rsidRPr="00C10CE3">
        <w:t>’</w:t>
      </w:r>
      <w:r w:rsidRPr="00C10CE3">
        <w:t xml:space="preserve">une démarche de </w:t>
      </w:r>
      <w:r w:rsidRPr="00C10CE3">
        <w:rPr>
          <w:i/>
        </w:rPr>
        <w:t>nudge</w:t>
      </w:r>
      <w:r w:rsidRPr="00C10CE3">
        <w:t xml:space="preserve"> doit s</w:t>
      </w:r>
      <w:r w:rsidR="005B2BBC" w:rsidRPr="00C10CE3">
        <w:t>’</w:t>
      </w:r>
      <w:r w:rsidRPr="00C10CE3">
        <w:t>opérer dans le respect de quatre conditions: la transparence du processus, la flexibilité pour les personnes concernées, qui doivent toujours avoir le choix d</w:t>
      </w:r>
      <w:r w:rsidR="005B2BBC" w:rsidRPr="00C10CE3">
        <w:t>’</w:t>
      </w:r>
      <w:r w:rsidRPr="00C10CE3">
        <w:t>agir dans un sens ou dans l</w:t>
      </w:r>
      <w:r w:rsidR="005B2BBC" w:rsidRPr="00C10CE3">
        <w:t>’</w:t>
      </w:r>
      <w:r w:rsidRPr="00C10CE3">
        <w:t>autre, la fiabilité des informations qui leur sont données et la non-culpabilisation des individus.</w:t>
      </w:r>
    </w:p>
    <w:p w:rsidR="00B23FDC" w:rsidRPr="00C10CE3" w:rsidRDefault="00B23FDC" w:rsidP="00B23FDC"/>
    <w:p w:rsidR="00B23FDC" w:rsidRPr="00C10CE3" w:rsidRDefault="00B23FDC" w:rsidP="0085715F">
      <w:pPr>
        <w:numPr>
          <w:ilvl w:val="1"/>
          <w:numId w:val="1"/>
        </w:numPr>
        <w:ind w:left="567" w:hanging="567"/>
        <w:outlineLvl w:val="1"/>
      </w:pPr>
      <w:r w:rsidRPr="00C10CE3">
        <w:rPr>
          <w:b/>
        </w:rPr>
        <w:t>Concevoir des dispositifs de suivi et d</w:t>
      </w:r>
      <w:r w:rsidR="005B2BBC" w:rsidRPr="00C10CE3">
        <w:rPr>
          <w:b/>
        </w:rPr>
        <w:t>’</w:t>
      </w:r>
      <w:r w:rsidRPr="00C10CE3">
        <w:rPr>
          <w:b/>
        </w:rPr>
        <w:t xml:space="preserve">évaluation des </w:t>
      </w:r>
      <w:r w:rsidRPr="00C10CE3">
        <w:rPr>
          <w:b/>
          <w:i/>
        </w:rPr>
        <w:t>nudges</w:t>
      </w:r>
      <w:r w:rsidRPr="00C10CE3">
        <w:t xml:space="preserve"> en fonction de différents critères (sociaux, environnementaux, économiques). </w:t>
      </w:r>
      <w:r w:rsidRPr="00C10CE3">
        <w:rPr>
          <w:rFonts w:eastAsia="Arial Unicode MS"/>
        </w:rPr>
        <w:t>Ceci peut supposer une première phase d</w:t>
      </w:r>
      <w:r w:rsidR="005B2BBC" w:rsidRPr="00C10CE3">
        <w:rPr>
          <w:rFonts w:eastAsia="Arial Unicode MS"/>
        </w:rPr>
        <w:t>’</w:t>
      </w:r>
      <w:r w:rsidRPr="00C10CE3">
        <w:rPr>
          <w:rFonts w:eastAsia="Arial Unicode MS"/>
        </w:rPr>
        <w:t>expérimentation pour comprendre l</w:t>
      </w:r>
      <w:r w:rsidR="005B2BBC" w:rsidRPr="00C10CE3">
        <w:rPr>
          <w:rFonts w:eastAsia="Arial Unicode MS"/>
        </w:rPr>
        <w:t>’</w:t>
      </w:r>
      <w:r w:rsidRPr="00C10CE3">
        <w:rPr>
          <w:rFonts w:eastAsia="Arial Unicode MS"/>
        </w:rPr>
        <w:t xml:space="preserve">influence exacte du </w:t>
      </w:r>
      <w:r w:rsidRPr="00C10CE3">
        <w:rPr>
          <w:rFonts w:eastAsia="Arial Unicode MS"/>
          <w:i/>
        </w:rPr>
        <w:t>nudge</w:t>
      </w:r>
      <w:r w:rsidRPr="00C10CE3">
        <w:rPr>
          <w:rFonts w:eastAsia="Arial Unicode MS"/>
        </w:rPr>
        <w:t xml:space="preserve"> en fonction de sa nature, du public visé, du contexte… Elle permet un ajustement rapide si les résultats du </w:t>
      </w:r>
      <w:r w:rsidRPr="00C10CE3">
        <w:rPr>
          <w:rFonts w:eastAsia="Arial Unicode MS"/>
          <w:i/>
        </w:rPr>
        <w:t>nudge</w:t>
      </w:r>
      <w:r w:rsidRPr="00C10CE3">
        <w:rPr>
          <w:rFonts w:eastAsia="Arial Unicode MS"/>
        </w:rPr>
        <w:t xml:space="preserve"> s</w:t>
      </w:r>
      <w:r w:rsidR="005B2BBC" w:rsidRPr="00C10CE3">
        <w:rPr>
          <w:rFonts w:eastAsia="Arial Unicode MS"/>
        </w:rPr>
        <w:t>’</w:t>
      </w:r>
      <w:r w:rsidRPr="00C10CE3">
        <w:rPr>
          <w:rFonts w:eastAsia="Arial Unicode MS"/>
        </w:rPr>
        <w:t>avèrent décevants, voire son abandon si le nudge est jugé inefficace.</w:t>
      </w:r>
    </w:p>
    <w:p w:rsidR="00B23FDC" w:rsidRPr="00C10CE3" w:rsidRDefault="00B23FDC" w:rsidP="00B23FDC"/>
    <w:p w:rsidR="00B23FDC" w:rsidRPr="00C10CE3" w:rsidRDefault="00B23FDC" w:rsidP="00E14C9A">
      <w:pPr>
        <w:numPr>
          <w:ilvl w:val="1"/>
          <w:numId w:val="1"/>
        </w:numPr>
        <w:ind w:left="567" w:hanging="567"/>
        <w:outlineLvl w:val="1"/>
      </w:pPr>
      <w:r w:rsidRPr="00C10CE3">
        <w:rPr>
          <w:b/>
        </w:rPr>
        <w:t>Encourager dans les cursus de formation</w:t>
      </w:r>
      <w:r w:rsidRPr="00C10CE3">
        <w:t xml:space="preserve"> (initiale et continue) les disciplines relevant de l</w:t>
      </w:r>
      <w:r w:rsidR="005B2BBC" w:rsidRPr="00C10CE3">
        <w:t>’</w:t>
      </w:r>
      <w:r w:rsidRPr="00C10CE3">
        <w:t>économie comportementale. Ceci permettrait d</w:t>
      </w:r>
      <w:r w:rsidR="005B2BBC" w:rsidRPr="00C10CE3">
        <w:t>’</w:t>
      </w:r>
      <w:r w:rsidRPr="00C10CE3">
        <w:t>améliorer les connaissances sur cet outil et de favoriser son utilisation raisonnée et critique par différents publics (agents de la fonction publique, salariés d</w:t>
      </w:r>
      <w:r w:rsidR="005B2BBC" w:rsidRPr="00C10CE3">
        <w:t>’</w:t>
      </w:r>
      <w:r w:rsidRPr="00C10CE3">
        <w:t xml:space="preserve">entreprises, élus, etc.). Cela suppose aussi un décloisonnement des disciplines universitaires puisque le </w:t>
      </w:r>
      <w:r w:rsidRPr="00C10CE3">
        <w:rPr>
          <w:i/>
        </w:rPr>
        <w:t>nudge</w:t>
      </w:r>
      <w:r w:rsidRPr="00C10CE3">
        <w:t xml:space="preserve"> repose sur une approche transversale.</w:t>
      </w:r>
    </w:p>
    <w:p w:rsidR="00B23FDC" w:rsidRPr="00C10CE3" w:rsidRDefault="00B23FDC" w:rsidP="0085715F">
      <w:pPr>
        <w:outlineLvl w:val="1"/>
      </w:pPr>
    </w:p>
    <w:p w:rsidR="00B23FDC" w:rsidRPr="00C10CE3" w:rsidRDefault="00B23FDC" w:rsidP="0085715F">
      <w:pPr>
        <w:numPr>
          <w:ilvl w:val="1"/>
          <w:numId w:val="1"/>
        </w:numPr>
        <w:ind w:left="567" w:hanging="567"/>
        <w:outlineLvl w:val="1"/>
      </w:pPr>
      <w:r w:rsidRPr="00C10CE3">
        <w:rPr>
          <w:b/>
        </w:rPr>
        <w:t>Assurer une certaine flexibilité dans l</w:t>
      </w:r>
      <w:r w:rsidR="005B2BBC" w:rsidRPr="00C10CE3">
        <w:rPr>
          <w:b/>
        </w:rPr>
        <w:t>’</w:t>
      </w:r>
      <w:r w:rsidRPr="00C10CE3">
        <w:rPr>
          <w:b/>
        </w:rPr>
        <w:t xml:space="preserve">utilisation du </w:t>
      </w:r>
      <w:r w:rsidRPr="00C10CE3">
        <w:rPr>
          <w:b/>
          <w:i/>
        </w:rPr>
        <w:t>nudge</w:t>
      </w:r>
      <w:r w:rsidRPr="00C10CE3">
        <w:t xml:space="preserve"> afin d</w:t>
      </w:r>
      <w:r w:rsidR="005B2BBC" w:rsidRPr="00C10CE3">
        <w:t>’</w:t>
      </w:r>
      <w:r w:rsidRPr="00C10CE3">
        <w:t xml:space="preserve">exploiter au mieux son potentiel. </w:t>
      </w:r>
      <w:r w:rsidRPr="00C10CE3">
        <w:rPr>
          <w:rFonts w:eastAsia="Arial Unicode MS"/>
        </w:rPr>
        <w:t xml:space="preserve">En effet, tout comme les autres outils à la disposition des pouvoirs publics, le </w:t>
      </w:r>
      <w:r w:rsidRPr="00C10CE3">
        <w:rPr>
          <w:rFonts w:eastAsia="Arial Unicode MS"/>
          <w:i/>
        </w:rPr>
        <w:t>nudge</w:t>
      </w:r>
      <w:r w:rsidRPr="00C10CE3">
        <w:rPr>
          <w:rFonts w:eastAsia="Arial Unicode MS"/>
        </w:rPr>
        <w:t xml:space="preserve"> n</w:t>
      </w:r>
      <w:r w:rsidR="005B2BBC" w:rsidRPr="00C10CE3">
        <w:rPr>
          <w:rFonts w:eastAsia="Arial Unicode MS"/>
        </w:rPr>
        <w:t>’</w:t>
      </w:r>
      <w:r w:rsidRPr="00C10CE3">
        <w:rPr>
          <w:rFonts w:eastAsia="Arial Unicode MS"/>
        </w:rPr>
        <w:t>est pas un outil miracle ni totalement nouveau, mais il peut se révéler très complémentaire et utile pour faire évoluer certains comportements. Son principal intérêt est d</w:t>
      </w:r>
      <w:r w:rsidR="005B2BBC" w:rsidRPr="00C10CE3">
        <w:rPr>
          <w:rFonts w:eastAsia="Arial Unicode MS"/>
        </w:rPr>
        <w:t>’</w:t>
      </w:r>
      <w:r w:rsidRPr="00C10CE3">
        <w:rPr>
          <w:rFonts w:eastAsia="Arial Unicode MS"/>
        </w:rPr>
        <w:t>inciter à prendre en compte dans la conception des politiques publiques la dimension psychologique des comportements et pas uniquement leur «rationalité économique».</w:t>
      </w:r>
    </w:p>
    <w:p w:rsidR="00B23FDC" w:rsidRPr="00C10CE3" w:rsidRDefault="00B23FDC" w:rsidP="00B23FDC">
      <w:pPr>
        <w:rPr>
          <w:i/>
        </w:rPr>
      </w:pPr>
    </w:p>
    <w:p w:rsidR="00B23FDC" w:rsidRPr="00C10CE3" w:rsidRDefault="00B23FDC" w:rsidP="00E14C9A">
      <w:pPr>
        <w:numPr>
          <w:ilvl w:val="1"/>
          <w:numId w:val="1"/>
        </w:numPr>
        <w:ind w:left="567" w:hanging="567"/>
        <w:outlineLvl w:val="1"/>
      </w:pPr>
      <w:r w:rsidRPr="00C10CE3">
        <w:rPr>
          <w:b/>
        </w:rPr>
        <w:t>Organiser à l</w:t>
      </w:r>
      <w:r w:rsidR="005B2BBC" w:rsidRPr="00C10CE3">
        <w:rPr>
          <w:b/>
        </w:rPr>
        <w:t>’</w:t>
      </w:r>
      <w:r w:rsidRPr="00C10CE3">
        <w:rPr>
          <w:b/>
        </w:rPr>
        <w:t xml:space="preserve">initiative du CESE les premières assises européennes sur les </w:t>
      </w:r>
      <w:r w:rsidRPr="00C10CE3">
        <w:rPr>
          <w:b/>
          <w:i/>
        </w:rPr>
        <w:t>nudges</w:t>
      </w:r>
      <w:r w:rsidRPr="00C10CE3">
        <w:t xml:space="preserve">, </w:t>
      </w:r>
      <w:r w:rsidRPr="00C10CE3">
        <w:rPr>
          <w:rFonts w:eastAsia="Arial Unicode MS"/>
        </w:rPr>
        <w:t>qui constitueraient une occasion unique d</w:t>
      </w:r>
      <w:r w:rsidR="005B2BBC" w:rsidRPr="00C10CE3">
        <w:rPr>
          <w:rFonts w:eastAsia="Arial Unicode MS"/>
        </w:rPr>
        <w:t>’</w:t>
      </w:r>
      <w:r w:rsidRPr="00C10CE3">
        <w:rPr>
          <w:rFonts w:eastAsia="Arial Unicode MS"/>
        </w:rPr>
        <w:t>échanges d</w:t>
      </w:r>
      <w:r w:rsidR="005B2BBC" w:rsidRPr="00C10CE3">
        <w:rPr>
          <w:rFonts w:eastAsia="Arial Unicode MS"/>
        </w:rPr>
        <w:t>’</w:t>
      </w:r>
      <w:r w:rsidRPr="00C10CE3">
        <w:rPr>
          <w:rFonts w:eastAsia="Arial Unicode MS"/>
        </w:rPr>
        <w:t>expériences entre les acteurs concernés par cet outil au sein de l</w:t>
      </w:r>
      <w:r w:rsidR="005B2BBC" w:rsidRPr="00C10CE3">
        <w:rPr>
          <w:rFonts w:eastAsia="Arial Unicode MS"/>
        </w:rPr>
        <w:t>’</w:t>
      </w:r>
      <w:r w:rsidRPr="00C10CE3">
        <w:rPr>
          <w:rFonts w:eastAsia="Arial Unicode MS"/>
        </w:rPr>
        <w:t>Union européenne.</w:t>
      </w:r>
    </w:p>
    <w:p w:rsidR="00577B11" w:rsidRPr="00C10CE3" w:rsidRDefault="00577B11" w:rsidP="00E14C9A">
      <w:pPr>
        <w:outlineLvl w:val="1"/>
      </w:pPr>
    </w:p>
    <w:p w:rsidR="00577B11" w:rsidRPr="00C10CE3" w:rsidRDefault="00577B11" w:rsidP="00577B11">
      <w:pPr>
        <w:pStyle w:val="Heading2"/>
      </w:pPr>
      <w:r w:rsidRPr="00C10CE3">
        <w:rPr>
          <w:b/>
        </w:rPr>
        <w:t>Créer au sein du CESE</w:t>
      </w:r>
      <w:r w:rsidRPr="00C10CE3">
        <w:t xml:space="preserve">, afin de faire face au basculement radical vers un nouveau modèle économique qui aura des conséquences systémiques importantes dans de nombreux domaines, </w:t>
      </w:r>
      <w:r w:rsidRPr="00C10CE3">
        <w:rPr>
          <w:b/>
        </w:rPr>
        <w:t>un nouvel organe permanent de nature transversale qui serait chargé d’analyser ces évolutions</w:t>
      </w:r>
      <w:r w:rsidRPr="00C10CE3">
        <w:t xml:space="preserve">, y compris le </w:t>
      </w:r>
      <w:r w:rsidRPr="00C10CE3">
        <w:rPr>
          <w:i/>
        </w:rPr>
        <w:t>nudge</w:t>
      </w:r>
      <w:r w:rsidRPr="00C10CE3">
        <w:t xml:space="preserve"> et d’autres thèmes connexes tels que l’économie circulaire, l’économie du partage et l’économie de fonctionnalité.</w:t>
      </w:r>
    </w:p>
    <w:p w:rsidR="00B23FDC" w:rsidRPr="00C10CE3" w:rsidRDefault="00B23FDC" w:rsidP="00B23FDC"/>
    <w:p w:rsidR="00B23FDC" w:rsidRPr="00C10CE3" w:rsidRDefault="00B23FDC">
      <w:pPr>
        <w:keepNext/>
        <w:keepLines/>
        <w:numPr>
          <w:ilvl w:val="0"/>
          <w:numId w:val="1"/>
        </w:numPr>
        <w:ind w:left="567" w:hanging="567"/>
        <w:outlineLvl w:val="0"/>
        <w:rPr>
          <w:b/>
          <w:kern w:val="28"/>
        </w:rPr>
      </w:pPr>
      <w:r w:rsidRPr="00C10CE3">
        <w:rPr>
          <w:b/>
          <w:kern w:val="28"/>
        </w:rPr>
        <w:t>Un cinquième outil pour les pouvoirs publics</w:t>
      </w:r>
    </w:p>
    <w:p w:rsidR="00B23FDC" w:rsidRPr="00C10CE3" w:rsidRDefault="00B23FDC" w:rsidP="00E14C9A">
      <w:pPr>
        <w:keepNext/>
      </w:pPr>
    </w:p>
    <w:p w:rsidR="00B23FDC" w:rsidRPr="00C10CE3" w:rsidRDefault="00B23FDC" w:rsidP="0085715F">
      <w:pPr>
        <w:numPr>
          <w:ilvl w:val="1"/>
          <w:numId w:val="1"/>
        </w:numPr>
        <w:ind w:left="567" w:hanging="567"/>
        <w:outlineLvl w:val="1"/>
      </w:pPr>
      <w:r w:rsidRPr="00C10CE3">
        <w:t>Pour faire évoluer les comportements des individus, les pouvoirs publics disposent traditionnellement de quatre types d</w:t>
      </w:r>
      <w:r w:rsidR="005B2BBC" w:rsidRPr="00C10CE3">
        <w:t>’</w:t>
      </w:r>
      <w:r w:rsidRPr="00C10CE3">
        <w:t>outils: l</w:t>
      </w:r>
      <w:r w:rsidR="005B2BBC" w:rsidRPr="00C10CE3">
        <w:t>’</w:t>
      </w:r>
      <w:r w:rsidRPr="00C10CE3">
        <w:t>information et la sensibilisation; l</w:t>
      </w:r>
      <w:r w:rsidR="005B2BBC" w:rsidRPr="00C10CE3">
        <w:t>’</w:t>
      </w:r>
      <w:r w:rsidRPr="00C10CE3">
        <w:t>incitation financière; la législation (interdiction ou obligation) et l</w:t>
      </w:r>
      <w:r w:rsidR="005B2BBC" w:rsidRPr="00C10CE3">
        <w:t>’</w:t>
      </w:r>
      <w:r w:rsidRPr="00C10CE3">
        <w:t>exemplarité. Mais ces quatre outils ont montré leurs limites, notamment en matière de comportement et de consommation responsable, c</w:t>
      </w:r>
      <w:r w:rsidR="005B2BBC" w:rsidRPr="00C10CE3">
        <w:t>’</w:t>
      </w:r>
      <w:r w:rsidRPr="00C10CE3">
        <w:t>est-à-dire moins consommatrice de ressources naturelles. En effet, un décalage persiste souvent entre la prise de conscience des individus et leurs comportements quotidiens.</w:t>
      </w:r>
    </w:p>
    <w:p w:rsidR="00B23FDC" w:rsidRPr="00C10CE3" w:rsidRDefault="00B23FDC" w:rsidP="0010715C"/>
    <w:p w:rsidR="00B23FDC" w:rsidRPr="00C10CE3" w:rsidRDefault="00B23FDC" w:rsidP="00E14C9A">
      <w:pPr>
        <w:keepNext/>
        <w:keepLines/>
        <w:numPr>
          <w:ilvl w:val="1"/>
          <w:numId w:val="1"/>
        </w:numPr>
        <w:ind w:left="567" w:hanging="567"/>
        <w:outlineLvl w:val="1"/>
      </w:pPr>
      <w:r w:rsidRPr="00C10CE3">
        <w:t>Les raisons de cet écart entre les intentions et l</w:t>
      </w:r>
      <w:r w:rsidR="005B2BBC" w:rsidRPr="00C10CE3">
        <w:t>’</w:t>
      </w:r>
      <w:r w:rsidRPr="00C10CE3">
        <w:t>action ont été analysées par l</w:t>
      </w:r>
      <w:r w:rsidR="005B2BBC" w:rsidRPr="00C10CE3">
        <w:t>’</w:t>
      </w:r>
      <w:r w:rsidRPr="00C10CE3">
        <w:t>économie et les sciences comportementales, une discipline qui s</w:t>
      </w:r>
      <w:r w:rsidR="005B2BBC" w:rsidRPr="00C10CE3">
        <w:t>’</w:t>
      </w:r>
      <w:r w:rsidRPr="00C10CE3">
        <w:t>est spécialisée dans la compréhension des facteurs d</w:t>
      </w:r>
      <w:r w:rsidR="005B2BBC" w:rsidRPr="00C10CE3">
        <w:t>’</w:t>
      </w:r>
      <w:r w:rsidRPr="00C10CE3">
        <w:t>influence des comportements des individus. Selon les chercheurs de cette discipline, les actions individuelles sont déterminées par de multiples facteurs. Nous sommes des êtres complexes, à la rationalité limitée, largement émotionnels, influencés par les autres et les interactions sociales mais également par le contexte et l</w:t>
      </w:r>
      <w:r w:rsidR="005B2BBC" w:rsidRPr="00C10CE3">
        <w:t>’</w:t>
      </w:r>
      <w:r w:rsidRPr="00C10CE3">
        <w:t>environnement dans lequel nous prenons des décisions.</w:t>
      </w:r>
    </w:p>
    <w:p w:rsidR="00B23FDC" w:rsidRPr="00C10CE3" w:rsidRDefault="00B23FDC" w:rsidP="0010715C"/>
    <w:p w:rsidR="00B23FDC" w:rsidRPr="00C10CE3" w:rsidRDefault="00B23FDC" w:rsidP="0085715F">
      <w:pPr>
        <w:numPr>
          <w:ilvl w:val="1"/>
          <w:numId w:val="1"/>
        </w:numPr>
        <w:ind w:left="567" w:hanging="567"/>
        <w:outlineLvl w:val="1"/>
      </w:pPr>
      <w:r w:rsidRPr="00C10CE3">
        <w:t>Au final, nos décisions et comportements émanent majoritairement de ce que Daniel KAHNEMAN, prix Nobel d</w:t>
      </w:r>
      <w:r w:rsidR="005B2BBC" w:rsidRPr="00C10CE3">
        <w:t>’</w:t>
      </w:r>
      <w:r w:rsidRPr="00C10CE3">
        <w:t>économie, appelle notre «système 1»: un mode de réflexion largement inconscient, automatique, ultrarapide qui nous permet de prendre de multiples décisions quotidiennes en minimisant nos efforts et en économisant nos ressources attentionnelles, mais qui se nourrit de stéréotypes et d</w:t>
      </w:r>
      <w:r w:rsidR="005B2BBC" w:rsidRPr="00C10CE3">
        <w:t>’</w:t>
      </w:r>
      <w:r w:rsidRPr="00C10CE3">
        <w:t>associations et nous éloigne souvent d</w:t>
      </w:r>
      <w:r w:rsidR="005B2BBC" w:rsidRPr="00C10CE3">
        <w:t>’</w:t>
      </w:r>
      <w:r w:rsidRPr="00C10CE3">
        <w:t>une rationalité mathématique.</w:t>
      </w:r>
    </w:p>
    <w:p w:rsidR="00B23FDC" w:rsidRPr="00C10CE3" w:rsidRDefault="00B23FDC" w:rsidP="0010715C"/>
    <w:p w:rsidR="00B23FDC" w:rsidRPr="00C10CE3" w:rsidRDefault="00B23FDC">
      <w:pPr>
        <w:keepNext/>
        <w:keepLines/>
        <w:numPr>
          <w:ilvl w:val="0"/>
          <w:numId w:val="1"/>
        </w:numPr>
        <w:ind w:left="567" w:hanging="567"/>
        <w:outlineLvl w:val="0"/>
        <w:rPr>
          <w:b/>
          <w:kern w:val="28"/>
        </w:rPr>
      </w:pPr>
      <w:r w:rsidRPr="00C10CE3">
        <w:rPr>
          <w:b/>
          <w:kern w:val="28"/>
        </w:rPr>
        <w:t>Prendre en compte les comportements pour orienter les choix</w:t>
      </w:r>
    </w:p>
    <w:p w:rsidR="00B23FDC" w:rsidRPr="00C10CE3" w:rsidRDefault="00B23FDC" w:rsidP="00E14C9A">
      <w:pPr>
        <w:keepNext/>
      </w:pPr>
    </w:p>
    <w:p w:rsidR="00B23FDC" w:rsidRPr="00C10CE3" w:rsidRDefault="00B23FDC" w:rsidP="0085715F">
      <w:pPr>
        <w:numPr>
          <w:ilvl w:val="1"/>
          <w:numId w:val="1"/>
        </w:numPr>
        <w:ind w:left="567" w:hanging="567"/>
        <w:outlineLvl w:val="1"/>
      </w:pPr>
      <w:r w:rsidRPr="00C10CE3">
        <w:t>L</w:t>
      </w:r>
      <w:r w:rsidR="005B2BBC" w:rsidRPr="00C10CE3">
        <w:t>’</w:t>
      </w:r>
      <w:r w:rsidRPr="00C10CE3">
        <w:t>économie comportementale (</w:t>
      </w:r>
      <w:r w:rsidRPr="00C10CE3">
        <w:rPr>
          <w:i/>
        </w:rPr>
        <w:t>Behavioral Economics</w:t>
      </w:r>
      <w:r w:rsidRPr="00C10CE3">
        <w:t>) considère donc que les leviers traditionnels des politiques publiques peuvent se révéler insuffisants pour faire évoluer les comportements, car ils ne prennent pas en compte les différentes dimensions qui peuvent influencer la prise de décision. C</w:t>
      </w:r>
      <w:r w:rsidR="005B2BBC" w:rsidRPr="00C10CE3">
        <w:t>’</w:t>
      </w:r>
      <w:r w:rsidRPr="00C10CE3">
        <w:t>est en partant de ce constat que deux professeurs américains, Richard THALER (professeur d</w:t>
      </w:r>
      <w:r w:rsidR="005B2BBC" w:rsidRPr="00C10CE3">
        <w:t>’</w:t>
      </w:r>
      <w:r w:rsidRPr="00C10CE3">
        <w:t>économie à Chicago et figure de proue de l</w:t>
      </w:r>
      <w:r w:rsidR="005B2BBC" w:rsidRPr="00C10CE3">
        <w:t>’</w:t>
      </w:r>
      <w:r w:rsidRPr="00C10CE3">
        <w:t xml:space="preserve">économie comportementale) et Cass SUNSTEIN (professeur de droit à Harvard) ont publié en 2008 le premier ouvrage sur les </w:t>
      </w:r>
      <w:r w:rsidRPr="00C10CE3">
        <w:rPr>
          <w:i/>
        </w:rPr>
        <w:t>nudges</w:t>
      </w:r>
      <w:r w:rsidRPr="00C10CE3">
        <w:rPr>
          <w:sz w:val="24"/>
          <w:vertAlign w:val="superscript"/>
        </w:rPr>
        <w:footnoteReference w:id="1"/>
      </w:r>
      <w:r w:rsidRPr="00C10CE3">
        <w:t>, qui repose sur l</w:t>
      </w:r>
      <w:r w:rsidR="005B2BBC" w:rsidRPr="00C10CE3">
        <w:t>’</w:t>
      </w:r>
      <w:r w:rsidRPr="00C10CE3">
        <w:t xml:space="preserve">idée que les changements de comportement doivent reposer sur des «incitations douces». Les auteurs définissent le </w:t>
      </w:r>
      <w:r w:rsidRPr="00C10CE3">
        <w:rPr>
          <w:i/>
        </w:rPr>
        <w:t>nudge</w:t>
      </w:r>
      <w:r w:rsidRPr="00C10CE3">
        <w:t xml:space="preserve"> comme «tout aspect de l</w:t>
      </w:r>
      <w:r w:rsidR="005B2BBC" w:rsidRPr="00C10CE3">
        <w:t>’</w:t>
      </w:r>
      <w:r w:rsidRPr="00C10CE3">
        <w:t xml:space="preserve">architecture du choix qui modifie de façon prévisible le comportement des gens sans interdire aucune option ou modifier de façon significative les incitations financières». Pour être considéré comme un simple </w:t>
      </w:r>
      <w:r w:rsidRPr="00C10CE3">
        <w:rPr>
          <w:i/>
        </w:rPr>
        <w:t>nudge</w:t>
      </w:r>
      <w:r w:rsidRPr="00C10CE3">
        <w:t>, l</w:t>
      </w:r>
      <w:r w:rsidR="005B2BBC" w:rsidRPr="00C10CE3">
        <w:t>’</w:t>
      </w:r>
      <w:r w:rsidRPr="00C10CE3">
        <w:t xml:space="preserve">acte doit pouvoir être évité facilement, les </w:t>
      </w:r>
      <w:r w:rsidRPr="00C10CE3">
        <w:rPr>
          <w:i/>
        </w:rPr>
        <w:t>nudges</w:t>
      </w:r>
      <w:r w:rsidRPr="00C10CE3">
        <w:t xml:space="preserve"> </w:t>
      </w:r>
      <w:r w:rsidR="005B2BBC" w:rsidRPr="00C10CE3">
        <w:t>’</w:t>
      </w:r>
      <w:r w:rsidRPr="00C10CE3">
        <w:t>n</w:t>
      </w:r>
      <w:r w:rsidR="005B2BBC" w:rsidRPr="00C10CE3">
        <w:t>’</w:t>
      </w:r>
      <w:r w:rsidRPr="00C10CE3">
        <w:t>ayant aucun caractère contraignant.</w:t>
      </w:r>
    </w:p>
    <w:p w:rsidR="00B23FDC" w:rsidRPr="00C10CE3" w:rsidRDefault="00B23FDC" w:rsidP="0010715C"/>
    <w:p w:rsidR="00B23FDC" w:rsidRPr="00C10CE3" w:rsidRDefault="00B23FDC" w:rsidP="0085715F">
      <w:pPr>
        <w:numPr>
          <w:ilvl w:val="1"/>
          <w:numId w:val="1"/>
        </w:numPr>
        <w:ind w:left="567" w:hanging="567"/>
        <w:outlineLvl w:val="1"/>
        <w:rPr>
          <w:rFonts w:eastAsia="Arial Unicode MS"/>
        </w:rPr>
      </w:pPr>
      <w:r w:rsidRPr="00C10CE3">
        <w:rPr>
          <w:rFonts w:eastAsia="Arial Unicode MS"/>
        </w:rPr>
        <w:t xml:space="preserve">Le </w:t>
      </w:r>
      <w:r w:rsidRPr="00C10CE3">
        <w:rPr>
          <w:rFonts w:eastAsia="Arial Unicode MS"/>
          <w:i/>
        </w:rPr>
        <w:t>nudge</w:t>
      </w:r>
      <w:r w:rsidRPr="00C10CE3">
        <w:rPr>
          <w:rFonts w:eastAsia="Arial Unicode MS"/>
        </w:rPr>
        <w:t xml:space="preserve"> vise à concevoir des «architectures des choix», qui mettent en avant le choix considéré comme bénéfique pour l</w:t>
      </w:r>
      <w:r w:rsidR="005B2BBC" w:rsidRPr="00C10CE3">
        <w:rPr>
          <w:rFonts w:eastAsia="Arial Unicode MS"/>
        </w:rPr>
        <w:t>’</w:t>
      </w:r>
      <w:r w:rsidRPr="00C10CE3">
        <w:rPr>
          <w:rFonts w:eastAsia="Arial Unicode MS"/>
        </w:rPr>
        <w:t>individu et/ou la collectivité, sans modifier le nombre ni la nature des choix disponibles. Il s</w:t>
      </w:r>
      <w:r w:rsidR="005B2BBC" w:rsidRPr="00C10CE3">
        <w:rPr>
          <w:rFonts w:eastAsia="Arial Unicode MS"/>
        </w:rPr>
        <w:t>’</w:t>
      </w:r>
      <w:r w:rsidRPr="00C10CE3">
        <w:rPr>
          <w:rFonts w:eastAsia="Arial Unicode MS"/>
        </w:rPr>
        <w:t>agit de pousser le consommateur ou l</w:t>
      </w:r>
      <w:r w:rsidR="005B2BBC" w:rsidRPr="00C10CE3">
        <w:rPr>
          <w:rFonts w:eastAsia="Arial Unicode MS"/>
        </w:rPr>
        <w:t>’</w:t>
      </w:r>
      <w:r w:rsidRPr="00C10CE3">
        <w:rPr>
          <w:rFonts w:eastAsia="Arial Unicode MS"/>
        </w:rPr>
        <w:t>usager vers un choix considéré comme meilleur. Il présente trois caractéristiques: une liberté de choix totale laissée aux individus, la simplicité de mise en place, un coût limité de l</w:t>
      </w:r>
      <w:r w:rsidR="005B2BBC" w:rsidRPr="00C10CE3">
        <w:rPr>
          <w:rFonts w:eastAsia="Arial Unicode MS"/>
        </w:rPr>
        <w:t>’</w:t>
      </w:r>
      <w:r w:rsidRPr="00C10CE3">
        <w:rPr>
          <w:rFonts w:eastAsia="Arial Unicode MS"/>
        </w:rPr>
        <w:t>intervention.</w:t>
      </w:r>
    </w:p>
    <w:p w:rsidR="00B23FDC" w:rsidRPr="00C10CE3" w:rsidRDefault="00B23FDC" w:rsidP="0010715C">
      <w:pPr>
        <w:rPr>
          <w:rFonts w:eastAsia="Arial Unicode MS"/>
        </w:rPr>
      </w:pPr>
    </w:p>
    <w:p w:rsidR="00B23FDC" w:rsidRPr="00C10CE3" w:rsidRDefault="00B23FDC" w:rsidP="0085715F">
      <w:pPr>
        <w:numPr>
          <w:ilvl w:val="1"/>
          <w:numId w:val="1"/>
        </w:numPr>
        <w:ind w:left="567" w:hanging="567"/>
        <w:outlineLvl w:val="1"/>
      </w:pPr>
      <w:r w:rsidRPr="00C10CE3">
        <w:t xml:space="preserve">Les </w:t>
      </w:r>
      <w:r w:rsidRPr="00C10CE3">
        <w:rPr>
          <w:i/>
        </w:rPr>
        <w:t>nudges</w:t>
      </w:r>
      <w:r w:rsidRPr="00C10CE3">
        <w:t xml:space="preserve"> suscitent un intérêt croissant des pouvoirs publics dans certains pays, car ils présentent deux avantages majeurs: ils ne restreignent pas les libertés individuelles et ont un coût limité, alors que leur impact peut être significatif. Ils peuvent donc constituer un outil complémentaire, s</w:t>
      </w:r>
      <w:r w:rsidR="005B2BBC" w:rsidRPr="00C10CE3">
        <w:t>’</w:t>
      </w:r>
      <w:r w:rsidRPr="00C10CE3">
        <w:t>inscrivant dans le cadre de politiques publiques visant à rendre les comportements individuels plus «responsables» pour la santé, l</w:t>
      </w:r>
      <w:r w:rsidR="005B2BBC" w:rsidRPr="00C10CE3">
        <w:t>’</w:t>
      </w:r>
      <w:r w:rsidRPr="00C10CE3">
        <w:t>environnement, etc. Pour l</w:t>
      </w:r>
      <w:r w:rsidR="005B2BBC" w:rsidRPr="00C10CE3">
        <w:t>’</w:t>
      </w:r>
      <w:r w:rsidRPr="00C10CE3">
        <w:t xml:space="preserve">individu, le </w:t>
      </w:r>
      <w:r w:rsidRPr="00C10CE3">
        <w:rPr>
          <w:i/>
        </w:rPr>
        <w:t>nudge</w:t>
      </w:r>
      <w:r w:rsidRPr="00C10CE3">
        <w:t xml:space="preserve"> lui permet un choix simplifié facilitant sa prise de décision.</w:t>
      </w:r>
    </w:p>
    <w:p w:rsidR="00B23FDC" w:rsidRPr="00C10CE3" w:rsidRDefault="00B23FDC" w:rsidP="0010715C">
      <w:pPr>
        <w:rPr>
          <w:rFonts w:eastAsia="Arial Unicode MS"/>
        </w:rPr>
      </w:pPr>
    </w:p>
    <w:p w:rsidR="00B23FDC" w:rsidRPr="00C10CE3" w:rsidRDefault="00B23FDC">
      <w:pPr>
        <w:keepNext/>
        <w:keepLines/>
        <w:numPr>
          <w:ilvl w:val="0"/>
          <w:numId w:val="1"/>
        </w:numPr>
        <w:ind w:left="567" w:hanging="567"/>
        <w:outlineLvl w:val="0"/>
        <w:rPr>
          <w:rFonts w:eastAsia="Arial Unicode MS"/>
          <w:b/>
          <w:kern w:val="28"/>
        </w:rPr>
      </w:pPr>
      <w:r w:rsidRPr="00C10CE3">
        <w:rPr>
          <w:rFonts w:eastAsia="Arial Unicode MS"/>
          <w:b/>
          <w:kern w:val="28"/>
        </w:rPr>
        <w:t xml:space="preserve">Le </w:t>
      </w:r>
      <w:r w:rsidRPr="00C10CE3">
        <w:rPr>
          <w:rFonts w:eastAsia="Arial Unicode MS"/>
          <w:b/>
          <w:i/>
          <w:kern w:val="28"/>
        </w:rPr>
        <w:t>nudge</w:t>
      </w:r>
      <w:r w:rsidRPr="00C10CE3">
        <w:rPr>
          <w:rFonts w:eastAsia="Arial Unicode MS"/>
          <w:b/>
          <w:kern w:val="28"/>
        </w:rPr>
        <w:t>: un concept, différents leviers</w:t>
      </w:r>
      <w:bookmarkStart w:id="1" w:name="_Toc428984884"/>
    </w:p>
    <w:p w:rsidR="00B23FDC" w:rsidRPr="00C10CE3" w:rsidRDefault="00B23FDC" w:rsidP="00E14C9A">
      <w:pPr>
        <w:keepNext/>
      </w:pPr>
    </w:p>
    <w:bookmarkEnd w:id="1"/>
    <w:p w:rsidR="00B23FDC" w:rsidRPr="00C10CE3" w:rsidRDefault="00B23FDC" w:rsidP="0085715F">
      <w:pPr>
        <w:numPr>
          <w:ilvl w:val="1"/>
          <w:numId w:val="1"/>
        </w:numPr>
        <w:ind w:left="567" w:hanging="567"/>
        <w:outlineLvl w:val="1"/>
        <w:rPr>
          <w:rFonts w:eastAsia="Arial Unicode MS"/>
        </w:rPr>
      </w:pPr>
      <w:r w:rsidRPr="00C10CE3">
        <w:rPr>
          <w:rFonts w:eastAsia="Arial Unicode MS"/>
        </w:rPr>
        <w:t>Le choix par défaut. Il s</w:t>
      </w:r>
      <w:r w:rsidR="005B2BBC" w:rsidRPr="00C10CE3">
        <w:rPr>
          <w:rFonts w:eastAsia="Arial Unicode MS"/>
        </w:rPr>
        <w:t>’</w:t>
      </w:r>
      <w:r w:rsidRPr="00C10CE3">
        <w:rPr>
          <w:rFonts w:eastAsia="Arial Unicode MS"/>
        </w:rPr>
        <w:t>agit de proposer une solution automatique par défaut, qui est jugée la plus souhaitable par l</w:t>
      </w:r>
      <w:r w:rsidR="005B2BBC" w:rsidRPr="00C10CE3">
        <w:rPr>
          <w:rFonts w:eastAsia="Arial Unicode MS"/>
        </w:rPr>
        <w:t>’</w:t>
      </w:r>
      <w:r w:rsidRPr="00C10CE3">
        <w:rPr>
          <w:rFonts w:eastAsia="Arial Unicode MS"/>
        </w:rPr>
        <w:t>autorité qui la met en place, mais aussi la plus simple d</w:t>
      </w:r>
      <w:r w:rsidR="005B2BBC" w:rsidRPr="00C10CE3">
        <w:rPr>
          <w:rFonts w:eastAsia="Arial Unicode MS"/>
        </w:rPr>
        <w:t>’</w:t>
      </w:r>
      <w:r w:rsidRPr="00C10CE3">
        <w:rPr>
          <w:rFonts w:eastAsia="Arial Unicode MS"/>
        </w:rPr>
        <w:t>application. Elle se base sur la force d</w:t>
      </w:r>
      <w:r w:rsidR="005B2BBC" w:rsidRPr="00C10CE3">
        <w:rPr>
          <w:rFonts w:eastAsia="Arial Unicode MS"/>
        </w:rPr>
        <w:t>’</w:t>
      </w:r>
      <w:r w:rsidRPr="00C10CE3">
        <w:rPr>
          <w:rFonts w:eastAsia="Arial Unicode MS"/>
        </w:rPr>
        <w:t>inertie des individus. C</w:t>
      </w:r>
      <w:r w:rsidR="005B2BBC" w:rsidRPr="00C10CE3">
        <w:rPr>
          <w:rFonts w:eastAsia="Arial Unicode MS"/>
        </w:rPr>
        <w:t>’</w:t>
      </w:r>
      <w:r w:rsidRPr="00C10CE3">
        <w:rPr>
          <w:rFonts w:eastAsia="Arial Unicode MS"/>
        </w:rPr>
        <w:t>est le cas, par exemple, dans les déclarations d</w:t>
      </w:r>
      <w:r w:rsidR="005B2BBC" w:rsidRPr="00C10CE3">
        <w:rPr>
          <w:rFonts w:eastAsia="Arial Unicode MS"/>
        </w:rPr>
        <w:t>’</w:t>
      </w:r>
      <w:r w:rsidRPr="00C10CE3">
        <w:rPr>
          <w:rFonts w:eastAsia="Arial Unicode MS"/>
        </w:rPr>
        <w:t>impôts sur le revenu en France où, depuis 2005, il est considéré par défaut que le ménage possède une télévision. Ceci a permis de faire passer le taux de fraude estimé de 6 % à 1 %. Le choix par défaut est aussi de plus en plus utilisé par les banques, les fournisseurs d</w:t>
      </w:r>
      <w:r w:rsidR="005B2BBC" w:rsidRPr="00C10CE3">
        <w:rPr>
          <w:rFonts w:eastAsia="Arial Unicode MS"/>
        </w:rPr>
        <w:t>’</w:t>
      </w:r>
      <w:r w:rsidRPr="00C10CE3">
        <w:rPr>
          <w:rFonts w:eastAsia="Arial Unicode MS"/>
        </w:rPr>
        <w:t>énergie et d</w:t>
      </w:r>
      <w:r w:rsidR="005B2BBC" w:rsidRPr="00C10CE3">
        <w:rPr>
          <w:rFonts w:eastAsia="Arial Unicode MS"/>
        </w:rPr>
        <w:t>’</w:t>
      </w:r>
      <w:r w:rsidRPr="00C10CE3">
        <w:rPr>
          <w:rFonts w:eastAsia="Arial Unicode MS"/>
        </w:rPr>
        <w:t>autres entreprises qui proposeront des factures électroniques plutôt qu</w:t>
      </w:r>
      <w:r w:rsidR="005B2BBC" w:rsidRPr="00C10CE3">
        <w:rPr>
          <w:rFonts w:eastAsia="Arial Unicode MS"/>
        </w:rPr>
        <w:t>’</w:t>
      </w:r>
      <w:r w:rsidRPr="00C10CE3">
        <w:rPr>
          <w:rFonts w:eastAsia="Arial Unicode MS"/>
        </w:rPr>
        <w:t>en format papier, de l</w:t>
      </w:r>
      <w:r w:rsidR="005B2BBC" w:rsidRPr="00C10CE3">
        <w:rPr>
          <w:rFonts w:eastAsia="Arial Unicode MS"/>
        </w:rPr>
        <w:t>’</w:t>
      </w:r>
      <w:r w:rsidRPr="00C10CE3">
        <w:rPr>
          <w:rFonts w:eastAsia="Arial Unicode MS"/>
        </w:rPr>
        <w:t>impression recto-verso par défaut, etc.</w:t>
      </w:r>
      <w:bookmarkStart w:id="2" w:name="_Toc428984885"/>
    </w:p>
    <w:p w:rsidR="00B23FDC" w:rsidRPr="00C10CE3" w:rsidRDefault="00B23FDC" w:rsidP="0085715F">
      <w:pPr>
        <w:ind w:left="567" w:hanging="567"/>
        <w:rPr>
          <w:rFonts w:eastAsia="Arial Unicode MS"/>
        </w:rPr>
      </w:pPr>
    </w:p>
    <w:bookmarkEnd w:id="2"/>
    <w:p w:rsidR="00B23FDC" w:rsidRPr="00C10CE3" w:rsidRDefault="00B23FDC" w:rsidP="0085715F">
      <w:pPr>
        <w:numPr>
          <w:ilvl w:val="1"/>
          <w:numId w:val="1"/>
        </w:numPr>
        <w:ind w:left="567" w:hanging="567"/>
        <w:outlineLvl w:val="1"/>
        <w:rPr>
          <w:rFonts w:eastAsia="Arial Unicode MS"/>
        </w:rPr>
      </w:pPr>
      <w:r w:rsidRPr="00C10CE3">
        <w:rPr>
          <w:rFonts w:eastAsia="Arial Unicode MS"/>
        </w:rPr>
        <w:t xml:space="preserve">La force de la norme sociale, qui est considérée par les partisans du </w:t>
      </w:r>
      <w:r w:rsidRPr="00C10CE3">
        <w:rPr>
          <w:rFonts w:eastAsia="Arial Unicode MS"/>
          <w:i/>
        </w:rPr>
        <w:t>nudge</w:t>
      </w:r>
      <w:r w:rsidRPr="00C10CE3">
        <w:rPr>
          <w:rFonts w:eastAsia="Arial Unicode MS"/>
        </w:rPr>
        <w:t xml:space="preserve"> comme un puissant déterminant des comportements. Elle peut donc être utilisée pour inciter les individus à agir dans un sens donné. Il s</w:t>
      </w:r>
      <w:r w:rsidR="005B2BBC" w:rsidRPr="00C10CE3">
        <w:rPr>
          <w:rFonts w:eastAsia="Arial Unicode MS"/>
        </w:rPr>
        <w:t>’</w:t>
      </w:r>
      <w:r w:rsidRPr="00C10CE3">
        <w:rPr>
          <w:rFonts w:eastAsia="Arial Unicode MS"/>
        </w:rPr>
        <w:t>agit en particulier de mettre en avant un comportement réalisé par la majorité des individus de l</w:t>
      </w:r>
      <w:r w:rsidR="005B2BBC" w:rsidRPr="00C10CE3">
        <w:rPr>
          <w:rFonts w:eastAsia="Arial Unicode MS"/>
        </w:rPr>
        <w:t>’</w:t>
      </w:r>
      <w:r w:rsidRPr="00C10CE3">
        <w:rPr>
          <w:rFonts w:eastAsia="Arial Unicode MS"/>
        </w:rPr>
        <w:t>entourage proche (voisins, collègues…). Ce message est censé inciter les individus à se comporter de la même manière pour se conforter à la norme sociale. En 2011, une expérimentation a été réalisée par le fournisseur d</w:t>
      </w:r>
      <w:r w:rsidR="005B2BBC" w:rsidRPr="00C10CE3">
        <w:rPr>
          <w:rFonts w:eastAsia="Arial Unicode MS"/>
        </w:rPr>
        <w:t>’</w:t>
      </w:r>
      <w:r w:rsidRPr="00C10CE3">
        <w:rPr>
          <w:rFonts w:eastAsia="Arial Unicode MS"/>
        </w:rPr>
        <w:t>énergie OPOWER aux États-Unis. À partir des informations sur la consommation d</w:t>
      </w:r>
      <w:r w:rsidR="005B2BBC" w:rsidRPr="00C10CE3">
        <w:rPr>
          <w:rFonts w:eastAsia="Arial Unicode MS"/>
        </w:rPr>
        <w:t>’</w:t>
      </w:r>
      <w:r w:rsidRPr="00C10CE3">
        <w:rPr>
          <w:rFonts w:eastAsia="Arial Unicode MS"/>
        </w:rPr>
        <w:t>électricité de 600 000 ménages, des courriers leur ont été envoyés indiquant par exemple: «le mois dernier, vous avez utilisé 15 % d</w:t>
      </w:r>
      <w:r w:rsidR="005B2BBC" w:rsidRPr="00C10CE3">
        <w:rPr>
          <w:rFonts w:eastAsia="Arial Unicode MS"/>
        </w:rPr>
        <w:t>’</w:t>
      </w:r>
      <w:r w:rsidRPr="00C10CE3">
        <w:rPr>
          <w:rFonts w:eastAsia="Arial Unicode MS"/>
        </w:rPr>
        <w:t>électricité de plus que vos voisins les plus économes». Des graphiques permettaient de comparer la consommation énergétique de son foyer avec celle de ses voisins et des autres consommateurs, agrémentés d</w:t>
      </w:r>
      <w:r w:rsidR="005B2BBC" w:rsidRPr="00C10CE3">
        <w:rPr>
          <w:rFonts w:eastAsia="Arial Unicode MS"/>
        </w:rPr>
        <w:t>’</w:t>
      </w:r>
      <w:r w:rsidRPr="00C10CE3">
        <w:rPr>
          <w:rFonts w:eastAsia="Arial Unicode MS"/>
        </w:rPr>
        <w:t>un «</w:t>
      </w:r>
      <w:r w:rsidRPr="00C10CE3">
        <w:rPr>
          <w:rFonts w:eastAsia="Arial Unicode MS"/>
          <w:i/>
        </w:rPr>
        <w:t>smiley</w:t>
      </w:r>
      <w:r w:rsidRPr="00C10CE3">
        <w:rPr>
          <w:rFonts w:eastAsia="Arial Unicode MS"/>
        </w:rPr>
        <w:t>» souriant en cas de baisse de la consommation. À la suite de ces envois, des baisses moyennes de la consommation d</w:t>
      </w:r>
      <w:r w:rsidR="005B2BBC" w:rsidRPr="00C10CE3">
        <w:rPr>
          <w:rFonts w:eastAsia="Arial Unicode MS"/>
        </w:rPr>
        <w:t>’</w:t>
      </w:r>
      <w:r w:rsidRPr="00C10CE3">
        <w:rPr>
          <w:rFonts w:eastAsia="Arial Unicode MS"/>
        </w:rPr>
        <w:t>électricité de 2 % ont été enregistrées chez les ménages participants, générant une économie totale de 250 millions de dollars US selon OPOWER</w:t>
      </w:r>
      <w:r w:rsidRPr="00C10CE3">
        <w:rPr>
          <w:rFonts w:eastAsia="Arial Unicode MS"/>
          <w:sz w:val="24"/>
          <w:vertAlign w:val="superscript"/>
        </w:rPr>
        <w:footnoteReference w:id="2"/>
      </w:r>
      <w:r w:rsidRPr="00C10CE3">
        <w:rPr>
          <w:rFonts w:eastAsia="Arial Unicode MS"/>
        </w:rPr>
        <w:t>. De nombreuses expériences similaires aboutissent à des résultats variant entre 1 et 20 % de réduction de consommation d</w:t>
      </w:r>
      <w:r w:rsidR="005B2BBC" w:rsidRPr="00C10CE3">
        <w:rPr>
          <w:rFonts w:eastAsia="Arial Unicode MS"/>
        </w:rPr>
        <w:t>’</w:t>
      </w:r>
      <w:r w:rsidRPr="00C10CE3">
        <w:rPr>
          <w:rFonts w:eastAsia="Arial Unicode MS"/>
        </w:rPr>
        <w:t>énergie.</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Le risque de perte, qui vise à mettre en avant la perte (notamment financière) que risque l</w:t>
      </w:r>
      <w:r w:rsidR="005B2BBC" w:rsidRPr="00C10CE3">
        <w:rPr>
          <w:rFonts w:eastAsia="Arial Unicode MS"/>
        </w:rPr>
        <w:t>’</w:t>
      </w:r>
      <w:r w:rsidRPr="00C10CE3">
        <w:rPr>
          <w:rFonts w:eastAsia="Arial Unicode MS"/>
        </w:rPr>
        <w:t>individu s</w:t>
      </w:r>
      <w:r w:rsidR="005B2BBC" w:rsidRPr="00C10CE3">
        <w:rPr>
          <w:rFonts w:eastAsia="Arial Unicode MS"/>
        </w:rPr>
        <w:t>’</w:t>
      </w:r>
      <w:r w:rsidRPr="00C10CE3">
        <w:rPr>
          <w:rFonts w:eastAsia="Arial Unicode MS"/>
        </w:rPr>
        <w:t>il ne modifie pas son comportement, par exemple en matière de consommation d</w:t>
      </w:r>
      <w:r w:rsidR="005B2BBC" w:rsidRPr="00C10CE3">
        <w:rPr>
          <w:rFonts w:eastAsia="Arial Unicode MS"/>
        </w:rPr>
        <w:t>’</w:t>
      </w:r>
      <w:r w:rsidRPr="00C10CE3">
        <w:rPr>
          <w:rFonts w:eastAsia="Arial Unicode MS"/>
        </w:rPr>
        <w:t>énergie. Il s</w:t>
      </w:r>
      <w:r w:rsidR="005B2BBC" w:rsidRPr="00C10CE3">
        <w:rPr>
          <w:rFonts w:eastAsia="Arial Unicode MS"/>
        </w:rPr>
        <w:t>’</w:t>
      </w:r>
      <w:r w:rsidRPr="00C10CE3">
        <w:rPr>
          <w:rFonts w:eastAsia="Arial Unicode MS"/>
        </w:rPr>
        <w:t>agit par exemple de lui indiquer la somme indicative qu</w:t>
      </w:r>
      <w:r w:rsidR="005B2BBC" w:rsidRPr="00C10CE3">
        <w:rPr>
          <w:rFonts w:eastAsia="Arial Unicode MS"/>
        </w:rPr>
        <w:t>’</w:t>
      </w:r>
      <w:r w:rsidRPr="00C10CE3">
        <w:rPr>
          <w:rFonts w:eastAsia="Arial Unicode MS"/>
        </w:rPr>
        <w:t>il perd en ne modifiant pas ses pratiques ou, au contraire, la somme qu</w:t>
      </w:r>
      <w:r w:rsidR="005B2BBC" w:rsidRPr="00C10CE3">
        <w:rPr>
          <w:rFonts w:eastAsia="Arial Unicode MS"/>
        </w:rPr>
        <w:t>’</w:t>
      </w:r>
      <w:r w:rsidRPr="00C10CE3">
        <w:rPr>
          <w:rFonts w:eastAsia="Arial Unicode MS"/>
        </w:rPr>
        <w:t>il pourrait gagner en le faisant. Cette visualisation de la perte peut également s</w:t>
      </w:r>
      <w:r w:rsidR="005B2BBC" w:rsidRPr="00C10CE3">
        <w:rPr>
          <w:rFonts w:eastAsia="Arial Unicode MS"/>
        </w:rPr>
        <w:t>’</w:t>
      </w:r>
      <w:r w:rsidRPr="00C10CE3">
        <w:rPr>
          <w:rFonts w:eastAsia="Arial Unicode MS"/>
        </w:rPr>
        <w:t>exprimer avec des indicateurs non financiers (calories, émissions de CO</w:t>
      </w:r>
      <w:r w:rsidRPr="00C10CE3">
        <w:rPr>
          <w:rFonts w:eastAsia="Arial Unicode MS"/>
          <w:vertAlign w:val="subscript"/>
        </w:rPr>
        <w:t>2</w:t>
      </w:r>
      <w:r w:rsidRPr="00C10CE3">
        <w:rPr>
          <w:rFonts w:eastAsia="Arial Unicode MS"/>
        </w:rPr>
        <w:t>…).</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L</w:t>
      </w:r>
      <w:r w:rsidR="005B2BBC" w:rsidRPr="00C10CE3">
        <w:rPr>
          <w:rFonts w:eastAsia="Arial Unicode MS"/>
        </w:rPr>
        <w:t>’</w:t>
      </w:r>
      <w:r w:rsidRPr="00C10CE3">
        <w:rPr>
          <w:rFonts w:eastAsia="Arial Unicode MS"/>
        </w:rPr>
        <w:t>émulation, qui consiste par exemple à organiser des concours pour encourager certaines pratiques, comme la lutte contre le gaspillage. Ainsi, l</w:t>
      </w:r>
      <w:r w:rsidR="005B2BBC" w:rsidRPr="00C10CE3">
        <w:rPr>
          <w:rFonts w:eastAsia="Arial Unicode MS"/>
        </w:rPr>
        <w:t>’</w:t>
      </w:r>
      <w:r w:rsidRPr="00C10CE3">
        <w:rPr>
          <w:rFonts w:eastAsia="Arial Unicode MS"/>
        </w:rPr>
        <w:t>ONG française Prioriterre souhaite sensibiliser aux économies d</w:t>
      </w:r>
      <w:r w:rsidR="005B2BBC" w:rsidRPr="00C10CE3">
        <w:rPr>
          <w:rFonts w:eastAsia="Arial Unicode MS"/>
        </w:rPr>
        <w:t>’</w:t>
      </w:r>
      <w:r w:rsidRPr="00C10CE3">
        <w:rPr>
          <w:rFonts w:eastAsia="Arial Unicode MS"/>
        </w:rPr>
        <w:t>énergie. Pour cela, elle organise tous les ans le défi «Familles à énergie positive», qui a réuni en 2014 environ 7 500 familles, qui devaient diminuer leur consommation énergétique de 8 % afin de gagner différentes récompenses</w:t>
      </w:r>
      <w:r w:rsidRPr="00C10CE3">
        <w:rPr>
          <w:rFonts w:eastAsia="Arial Unicode MS"/>
          <w:sz w:val="24"/>
          <w:vertAlign w:val="superscript"/>
        </w:rPr>
        <w:footnoteReference w:id="3"/>
      </w:r>
      <w:r w:rsidRPr="00C10CE3">
        <w:rPr>
          <w:rFonts w:eastAsia="Arial Unicode MS"/>
        </w:rPr>
        <w:t>.</w:t>
      </w:r>
    </w:p>
    <w:p w:rsidR="00B23FDC" w:rsidRPr="00C10CE3" w:rsidRDefault="00B23FDC" w:rsidP="0085715F">
      <w:pPr>
        <w:ind w:left="567" w:hanging="567"/>
        <w:rPr>
          <w:rFonts w:eastAsia="Arial Unicode MS"/>
        </w:rPr>
      </w:pPr>
    </w:p>
    <w:p w:rsidR="00B23FDC" w:rsidRPr="00C10CE3" w:rsidRDefault="00B23FDC" w:rsidP="00E14C9A">
      <w:pPr>
        <w:keepNext/>
        <w:keepLines/>
        <w:numPr>
          <w:ilvl w:val="1"/>
          <w:numId w:val="1"/>
        </w:numPr>
        <w:ind w:left="567" w:hanging="567"/>
        <w:outlineLvl w:val="1"/>
        <w:rPr>
          <w:rFonts w:eastAsia="Arial Unicode MS"/>
        </w:rPr>
      </w:pPr>
      <w:r w:rsidRPr="00C10CE3">
        <w:rPr>
          <w:rFonts w:eastAsia="Arial Unicode MS"/>
        </w:rPr>
        <w:t>Le recours au jeu et aux présentations ludiques. L</w:t>
      </w:r>
      <w:r w:rsidR="005B2BBC" w:rsidRPr="00C10CE3">
        <w:rPr>
          <w:rFonts w:eastAsia="Arial Unicode MS"/>
        </w:rPr>
        <w:t>’</w:t>
      </w:r>
      <w:r w:rsidRPr="00C10CE3">
        <w:rPr>
          <w:rFonts w:eastAsia="Arial Unicode MS"/>
        </w:rPr>
        <w:t xml:space="preserve">un des </w:t>
      </w:r>
      <w:r w:rsidRPr="00C10CE3">
        <w:rPr>
          <w:rFonts w:eastAsia="Arial Unicode MS"/>
          <w:i/>
        </w:rPr>
        <w:t>nudges</w:t>
      </w:r>
      <w:r w:rsidRPr="00C10CE3">
        <w:rPr>
          <w:rFonts w:eastAsia="Arial Unicode MS"/>
        </w:rPr>
        <w:t xml:space="preserve"> les plus connus a été mis en place par l</w:t>
      </w:r>
      <w:r w:rsidR="005B2BBC" w:rsidRPr="00C10CE3">
        <w:rPr>
          <w:rFonts w:eastAsia="Arial Unicode MS"/>
        </w:rPr>
        <w:t>’</w:t>
      </w:r>
      <w:r w:rsidRPr="00C10CE3">
        <w:rPr>
          <w:rFonts w:eastAsia="Arial Unicode MS"/>
        </w:rPr>
        <w:t>aéroport d</w:t>
      </w:r>
      <w:r w:rsidR="005B2BBC" w:rsidRPr="00C10CE3">
        <w:rPr>
          <w:rFonts w:eastAsia="Arial Unicode MS"/>
        </w:rPr>
        <w:t>’</w:t>
      </w:r>
      <w:r w:rsidRPr="00C10CE3">
        <w:rPr>
          <w:rFonts w:eastAsia="Arial Unicode MS"/>
        </w:rPr>
        <w:t>Amsterdam: de fausses mouches ont été peintes à l</w:t>
      </w:r>
      <w:r w:rsidR="005B2BBC" w:rsidRPr="00C10CE3">
        <w:rPr>
          <w:rFonts w:eastAsia="Arial Unicode MS"/>
        </w:rPr>
        <w:t>’</w:t>
      </w:r>
      <w:r w:rsidRPr="00C10CE3">
        <w:rPr>
          <w:rFonts w:eastAsia="Arial Unicode MS"/>
        </w:rPr>
        <w:t>intérieur des urinoirs, afin d</w:t>
      </w:r>
      <w:r w:rsidR="005B2BBC" w:rsidRPr="00C10CE3">
        <w:rPr>
          <w:rFonts w:eastAsia="Arial Unicode MS"/>
        </w:rPr>
        <w:t>’</w:t>
      </w:r>
      <w:r w:rsidRPr="00C10CE3">
        <w:rPr>
          <w:rFonts w:eastAsia="Arial Unicode MS"/>
        </w:rPr>
        <w:t>inciter les hommes à bien viser. En 2009, Volkswagen a transformé à Stockholm l</w:t>
      </w:r>
      <w:r w:rsidR="005B2BBC" w:rsidRPr="00C10CE3">
        <w:rPr>
          <w:rFonts w:eastAsia="Arial Unicode MS"/>
        </w:rPr>
        <w:t>’</w:t>
      </w:r>
      <w:r w:rsidRPr="00C10CE3">
        <w:rPr>
          <w:rFonts w:eastAsia="Arial Unicode MS"/>
        </w:rPr>
        <w:t>escalier menant vers la sortie de la station Odenplan en un gigantesque clavier de piano. Chaque pression sur une marche activait une note de musique</w:t>
      </w:r>
      <w:r w:rsidRPr="00C10CE3">
        <w:rPr>
          <w:rFonts w:eastAsia="Arial Unicode MS"/>
          <w:sz w:val="24"/>
          <w:vertAlign w:val="superscript"/>
        </w:rPr>
        <w:footnoteReference w:id="4"/>
      </w:r>
      <w:r w:rsidRPr="00C10CE3">
        <w:rPr>
          <w:rFonts w:eastAsia="Arial Unicode MS"/>
        </w:rPr>
        <w:t>. L</w:t>
      </w:r>
      <w:r w:rsidR="005B2BBC" w:rsidRPr="00C10CE3">
        <w:rPr>
          <w:rFonts w:eastAsia="Arial Unicode MS"/>
        </w:rPr>
        <w:t>’</w:t>
      </w:r>
      <w:r w:rsidRPr="00C10CE3">
        <w:rPr>
          <w:rFonts w:eastAsia="Arial Unicode MS"/>
        </w:rPr>
        <w:t>objectif était d</w:t>
      </w:r>
      <w:r w:rsidR="005B2BBC" w:rsidRPr="00C10CE3">
        <w:rPr>
          <w:rFonts w:eastAsia="Arial Unicode MS"/>
        </w:rPr>
        <w:t>’</w:t>
      </w:r>
      <w:r w:rsidRPr="00C10CE3">
        <w:rPr>
          <w:rFonts w:eastAsia="Arial Unicode MS"/>
        </w:rPr>
        <w:t>inciter les usagers à utiliser ces escaliers plutôt que les escalators. En Corée du Sud, un marquage au sol indique le risque de surpoids des personnes empruntant des escalators.</w:t>
      </w:r>
    </w:p>
    <w:p w:rsidR="00B23FDC" w:rsidRPr="00C10CE3" w:rsidRDefault="00B23FDC" w:rsidP="0085715F">
      <w:pPr>
        <w:ind w:left="567" w:hanging="567"/>
        <w:rPr>
          <w:rFonts w:eastAsia="Arial Unicode MS"/>
        </w:rPr>
      </w:pPr>
    </w:p>
    <w:p w:rsidR="00B23FDC" w:rsidRPr="00C10CE3" w:rsidRDefault="00B23FDC">
      <w:pPr>
        <w:numPr>
          <w:ilvl w:val="1"/>
          <w:numId w:val="1"/>
        </w:numPr>
        <w:ind w:left="567" w:hanging="567"/>
        <w:outlineLvl w:val="1"/>
        <w:rPr>
          <w:b/>
        </w:rPr>
      </w:pPr>
      <w:r w:rsidRPr="00C10CE3">
        <w:rPr>
          <w:rFonts w:eastAsia="Arial Unicode MS"/>
        </w:rPr>
        <w:t xml:space="preserve">Le </w:t>
      </w:r>
      <w:r w:rsidRPr="00C10CE3">
        <w:rPr>
          <w:rFonts w:eastAsia="Arial Unicode MS"/>
          <w:i/>
        </w:rPr>
        <w:t>nudge</w:t>
      </w:r>
      <w:r w:rsidRPr="00C10CE3">
        <w:rPr>
          <w:rFonts w:eastAsia="Arial Unicode MS"/>
        </w:rPr>
        <w:t xml:space="preserve"> peut aussi viser à modifier la présentation des choix ou l</w:t>
      </w:r>
      <w:r w:rsidR="005B2BBC" w:rsidRPr="00C10CE3">
        <w:rPr>
          <w:rFonts w:eastAsia="Arial Unicode MS"/>
        </w:rPr>
        <w:t>’</w:t>
      </w:r>
      <w:r w:rsidRPr="00C10CE3">
        <w:rPr>
          <w:rFonts w:eastAsia="Arial Unicode MS"/>
        </w:rPr>
        <w:t xml:space="preserve">apparence de certains produits, afin de mettre en avant ceux considérés comme les plus sains, les plus écologiques, etc. Ce type de </w:t>
      </w:r>
      <w:r w:rsidRPr="00C10CE3">
        <w:rPr>
          <w:rFonts w:eastAsia="Arial Unicode MS"/>
          <w:i/>
        </w:rPr>
        <w:t>nudge</w:t>
      </w:r>
      <w:r w:rsidRPr="00C10CE3">
        <w:rPr>
          <w:rFonts w:eastAsia="Arial Unicode MS"/>
        </w:rPr>
        <w:t xml:space="preserve"> peut parfois se rapprocher du principe du label. Plusieurs expérimentations ont aussi été menées dans des cantines afin d</w:t>
      </w:r>
      <w:r w:rsidR="005B2BBC" w:rsidRPr="00C10CE3">
        <w:rPr>
          <w:rFonts w:eastAsia="Arial Unicode MS"/>
        </w:rPr>
        <w:t>’</w:t>
      </w:r>
      <w:r w:rsidRPr="00C10CE3">
        <w:rPr>
          <w:rFonts w:eastAsia="Arial Unicode MS"/>
        </w:rPr>
        <w:t>inciter les clients à consommer des aliments sains. Pour cela, ces derniers étaient présentés au début du présentoir, ce qui permet dans certains cas de multiplier leur consommation par deux par rapport à une situation où ils sont au milieu ou à la fin. D</w:t>
      </w:r>
      <w:r w:rsidR="005B2BBC" w:rsidRPr="00C10CE3">
        <w:rPr>
          <w:rFonts w:eastAsia="Arial Unicode MS"/>
        </w:rPr>
        <w:t>’</w:t>
      </w:r>
      <w:r w:rsidRPr="00C10CE3">
        <w:rPr>
          <w:rFonts w:eastAsia="Arial Unicode MS"/>
        </w:rPr>
        <w:t>autres cantines ont cherché à réduire le gaspillage en réduisant la taille des assiettes utilisées: ces dernières sont tout aussi remplies, mais la quantité servie est restreinte (sachant que les clients peuvent toujours se resservir s</w:t>
      </w:r>
      <w:r w:rsidR="005B2BBC" w:rsidRPr="00C10CE3">
        <w:rPr>
          <w:rFonts w:eastAsia="Arial Unicode MS"/>
        </w:rPr>
        <w:t>’</w:t>
      </w:r>
      <w:r w:rsidRPr="00C10CE3">
        <w:rPr>
          <w:rFonts w:eastAsia="Arial Unicode MS"/>
        </w:rPr>
        <w:t>ils le souhaitent)</w:t>
      </w:r>
      <w:r w:rsidRPr="00C10CE3">
        <w:rPr>
          <w:rFonts w:eastAsia="Arial Unicode MS"/>
          <w:sz w:val="24"/>
          <w:vertAlign w:val="superscript"/>
        </w:rPr>
        <w:footnoteReference w:id="5"/>
      </w:r>
      <w:r w:rsidRPr="00C10CE3">
        <w:rPr>
          <w:rFonts w:eastAsia="Arial Unicode MS"/>
        </w:rPr>
        <w:t>.</w:t>
      </w:r>
    </w:p>
    <w:p w:rsidR="00B23FDC" w:rsidRPr="00C10CE3" w:rsidRDefault="00B23FDC" w:rsidP="0085715F">
      <w:pPr>
        <w:ind w:left="567" w:hanging="567"/>
      </w:pPr>
    </w:p>
    <w:p w:rsidR="00B23FDC" w:rsidRPr="00C10CE3" w:rsidRDefault="00B23FDC" w:rsidP="0085715F">
      <w:pPr>
        <w:keepNext/>
        <w:numPr>
          <w:ilvl w:val="0"/>
          <w:numId w:val="1"/>
        </w:numPr>
        <w:ind w:left="567" w:hanging="567"/>
        <w:outlineLvl w:val="0"/>
        <w:rPr>
          <w:rFonts w:eastAsia="Arial Unicode MS"/>
          <w:b/>
          <w:kern w:val="28"/>
        </w:rPr>
      </w:pPr>
      <w:r w:rsidRPr="00C10CE3">
        <w:rPr>
          <w:rFonts w:eastAsia="Arial Unicode MS"/>
          <w:b/>
          <w:kern w:val="28"/>
        </w:rPr>
        <w:t>Un outil de plus en plus utilisé par les pouvoirs publics</w:t>
      </w:r>
    </w:p>
    <w:p w:rsidR="00B23FDC" w:rsidRPr="00C10CE3" w:rsidRDefault="00B23FDC" w:rsidP="0085715F">
      <w:pPr>
        <w:keepNext/>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Depuis 2008, de plus en plus de pays s</w:t>
      </w:r>
      <w:r w:rsidR="005B2BBC" w:rsidRPr="00C10CE3">
        <w:rPr>
          <w:rFonts w:eastAsia="Arial Unicode MS"/>
        </w:rPr>
        <w:t>’</w:t>
      </w:r>
      <w:r w:rsidRPr="00C10CE3">
        <w:rPr>
          <w:rFonts w:eastAsia="Arial Unicode MS"/>
        </w:rPr>
        <w:t xml:space="preserve">intéressent au potentiel des outils de politiques publiques relevant du champ des </w:t>
      </w:r>
      <w:r w:rsidRPr="00C10CE3">
        <w:rPr>
          <w:rFonts w:eastAsia="Arial Unicode MS"/>
          <w:i/>
        </w:rPr>
        <w:t>nudges</w:t>
      </w:r>
      <w:r w:rsidRPr="00C10CE3">
        <w:rPr>
          <w:rFonts w:eastAsia="Arial Unicode MS"/>
        </w:rPr>
        <w:t>, qui offrent la triple promesse d</w:t>
      </w:r>
      <w:r w:rsidR="005B2BBC" w:rsidRPr="00C10CE3">
        <w:rPr>
          <w:rFonts w:eastAsia="Arial Unicode MS"/>
        </w:rPr>
        <w:t>’</w:t>
      </w:r>
      <w:r w:rsidRPr="00C10CE3">
        <w:rPr>
          <w:rFonts w:eastAsia="Arial Unicode MS"/>
        </w:rPr>
        <w:t>être plus acceptables par l</w:t>
      </w:r>
      <w:r w:rsidR="005B2BBC" w:rsidRPr="00C10CE3">
        <w:rPr>
          <w:rFonts w:eastAsia="Arial Unicode MS"/>
        </w:rPr>
        <w:t>’</w:t>
      </w:r>
      <w:r w:rsidRPr="00C10CE3">
        <w:rPr>
          <w:rFonts w:eastAsia="Arial Unicode MS"/>
        </w:rPr>
        <w:t xml:space="preserve">opinion publique que les normes ou les taxes, peu coûteuses et efficaces. Les paragraphes suivants en donnent quelques exemples non-exhaustifs. </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En 2010, le gouvernement britannique de David CAMERON crée la «</w:t>
      </w:r>
      <w:r w:rsidRPr="00C10CE3">
        <w:rPr>
          <w:rFonts w:eastAsia="Arial Unicode MS"/>
          <w:i/>
        </w:rPr>
        <w:t>Behavioural Insights Team</w:t>
      </w:r>
      <w:r w:rsidRPr="00C10CE3">
        <w:rPr>
          <w:rFonts w:eastAsia="Arial Unicode MS"/>
        </w:rPr>
        <w:t>», confiée à David HALPERN et chargée d</w:t>
      </w:r>
      <w:r w:rsidR="005B2BBC" w:rsidRPr="00C10CE3">
        <w:rPr>
          <w:rFonts w:eastAsia="Arial Unicode MS"/>
        </w:rPr>
        <w:t>’</w:t>
      </w:r>
      <w:r w:rsidRPr="00C10CE3">
        <w:rPr>
          <w:rFonts w:eastAsia="Arial Unicode MS"/>
        </w:rPr>
        <w:t>appliquer les sciences comportementales aux politiques publiques britanniques. Elle a par exemple modifié la page du site internet gouvernemental permettant d</w:t>
      </w:r>
      <w:r w:rsidR="005B2BBC" w:rsidRPr="00C10CE3">
        <w:rPr>
          <w:rFonts w:eastAsia="Arial Unicode MS"/>
        </w:rPr>
        <w:t>’</w:t>
      </w:r>
      <w:r w:rsidRPr="00C10CE3">
        <w:rPr>
          <w:rFonts w:eastAsia="Arial Unicode MS"/>
        </w:rPr>
        <w:t>adhérer au don d</w:t>
      </w:r>
      <w:r w:rsidR="005B2BBC" w:rsidRPr="00C10CE3">
        <w:rPr>
          <w:rFonts w:eastAsia="Arial Unicode MS"/>
        </w:rPr>
        <w:t>’</w:t>
      </w:r>
      <w:r w:rsidRPr="00C10CE3">
        <w:rPr>
          <w:rFonts w:eastAsia="Arial Unicode MS"/>
        </w:rPr>
        <w:t>organe. Elle y a indiqué: «Chaque jour, des milliers de gens qui voient cette page décident de s</w:t>
      </w:r>
      <w:r w:rsidR="005B2BBC" w:rsidRPr="00C10CE3">
        <w:rPr>
          <w:rFonts w:eastAsia="Arial Unicode MS"/>
        </w:rPr>
        <w:t>’</w:t>
      </w:r>
      <w:r w:rsidRPr="00C10CE3">
        <w:rPr>
          <w:rFonts w:eastAsia="Arial Unicode MS"/>
        </w:rPr>
        <w:t>enregistrer» et y a placé le logo du NHS (</w:t>
      </w:r>
      <w:r w:rsidRPr="00C10CE3">
        <w:rPr>
          <w:rFonts w:eastAsia="Arial Unicode MS"/>
          <w:i/>
        </w:rPr>
        <w:t>National Health Service</w:t>
      </w:r>
      <w:r w:rsidRPr="00C10CE3">
        <w:rPr>
          <w:rFonts w:eastAsia="Arial Unicode MS"/>
        </w:rPr>
        <w:t>), la sécurité sociale britannique. En un an, le taux d</w:t>
      </w:r>
      <w:r w:rsidR="005B2BBC" w:rsidRPr="00C10CE3">
        <w:rPr>
          <w:rFonts w:eastAsia="Arial Unicode MS"/>
        </w:rPr>
        <w:t>’</w:t>
      </w:r>
      <w:r w:rsidRPr="00C10CE3">
        <w:rPr>
          <w:rFonts w:eastAsia="Arial Unicode MS"/>
        </w:rPr>
        <w:t>adhésion au programme est passé de 2,3 % à 3,2 % (+96 000 adhésions). Depuis 2014, la «</w:t>
      </w:r>
      <w:r w:rsidRPr="00C10CE3">
        <w:rPr>
          <w:rFonts w:eastAsia="Arial Unicode MS"/>
          <w:i/>
        </w:rPr>
        <w:t>Nudge Unit</w:t>
      </w:r>
      <w:r w:rsidRPr="00C10CE3">
        <w:rPr>
          <w:rFonts w:eastAsia="Arial Unicode MS"/>
        </w:rPr>
        <w:t>» fonctionne de manière indépendante, et conseille des gouvernements étrangers, des collectivités locales, des entreprises, etc.</w:t>
      </w:r>
      <w:r w:rsidRPr="00C10CE3">
        <w:rPr>
          <w:rFonts w:eastAsia="Arial Unicode MS"/>
          <w:sz w:val="24"/>
          <w:vertAlign w:val="superscript"/>
        </w:rPr>
        <w:footnoteReference w:id="6"/>
      </w:r>
    </w:p>
    <w:p w:rsidR="00F3413D" w:rsidRPr="00C10CE3" w:rsidRDefault="00F3413D">
      <w:pPr>
        <w:spacing w:line="240" w:lineRule="auto"/>
        <w:jc w:val="left"/>
        <w:rPr>
          <w:rFonts w:eastAsia="Arial Unicode MS"/>
        </w:rPr>
      </w:pPr>
    </w:p>
    <w:p w:rsidR="00B23FDC" w:rsidRPr="00C10CE3" w:rsidRDefault="00B23FDC" w:rsidP="00E14C9A">
      <w:pPr>
        <w:keepNext/>
        <w:keepLines/>
        <w:widowControl w:val="0"/>
        <w:numPr>
          <w:ilvl w:val="1"/>
          <w:numId w:val="1"/>
        </w:numPr>
        <w:ind w:left="567" w:hanging="567"/>
        <w:outlineLvl w:val="1"/>
        <w:rPr>
          <w:rFonts w:eastAsia="Arial Unicode MS"/>
        </w:rPr>
      </w:pPr>
      <w:r w:rsidRPr="00C10CE3">
        <w:rPr>
          <w:rFonts w:eastAsia="Arial Unicode MS"/>
        </w:rPr>
        <w:t>L</w:t>
      </w:r>
      <w:r w:rsidR="005B2BBC" w:rsidRPr="00C10CE3">
        <w:rPr>
          <w:rFonts w:eastAsia="Arial Unicode MS"/>
        </w:rPr>
        <w:t>’</w:t>
      </w:r>
      <w:r w:rsidRPr="00C10CE3">
        <w:rPr>
          <w:rFonts w:eastAsia="Arial Unicode MS"/>
        </w:rPr>
        <w:t>administration Obama a lancé également sa «</w:t>
      </w:r>
      <w:r w:rsidRPr="00C10CE3">
        <w:rPr>
          <w:rFonts w:eastAsia="Arial Unicode MS"/>
          <w:i/>
        </w:rPr>
        <w:t>Nudge Squad</w:t>
      </w:r>
      <w:r w:rsidRPr="00C10CE3">
        <w:rPr>
          <w:rFonts w:eastAsia="Arial Unicode MS"/>
        </w:rPr>
        <w:t>» en 2014 sous la direction de Maya</w:t>
      </w:r>
      <w:r w:rsidR="00F3413D" w:rsidRPr="00C10CE3">
        <w:rPr>
          <w:rFonts w:eastAsia="Arial Unicode MS"/>
        </w:rPr>
        <w:t> </w:t>
      </w:r>
      <w:r w:rsidRPr="00C10CE3">
        <w:rPr>
          <w:rFonts w:eastAsia="Arial Unicode MS"/>
        </w:rPr>
        <w:t xml:space="preserve">SHANKAR. Dans un décret publié en septembre 2015, le </w:t>
      </w:r>
      <w:r w:rsidR="00D72E7C" w:rsidRPr="00C10CE3">
        <w:rPr>
          <w:rFonts w:eastAsia="Arial Unicode MS"/>
        </w:rPr>
        <w:t>p</w:t>
      </w:r>
      <w:r w:rsidRPr="00C10CE3">
        <w:rPr>
          <w:rFonts w:eastAsia="Arial Unicode MS"/>
        </w:rPr>
        <w:t>résident OBAMA «encourage» les départements et les agences gouvernementales à utiliser les apports de la science comportementale («</w:t>
      </w:r>
      <w:r w:rsidRPr="00C10CE3">
        <w:rPr>
          <w:rFonts w:eastAsia="Arial Unicode MS"/>
          <w:i/>
        </w:rPr>
        <w:t>behavioral science</w:t>
      </w:r>
      <w:r w:rsidRPr="00C10CE3">
        <w:rPr>
          <w:rFonts w:eastAsia="Arial Unicode MS"/>
        </w:rPr>
        <w:t>»)</w:t>
      </w:r>
      <w:r w:rsidRPr="00C10CE3">
        <w:rPr>
          <w:rFonts w:eastAsia="Arial Unicode MS"/>
          <w:sz w:val="24"/>
          <w:vertAlign w:val="superscript"/>
        </w:rPr>
        <w:footnoteReference w:id="7"/>
      </w:r>
      <w:r w:rsidRPr="00C10CE3">
        <w:rPr>
          <w:rFonts w:eastAsia="Arial Unicode MS"/>
        </w:rPr>
        <w:t>. Les gouvernements de Singapour, d</w:t>
      </w:r>
      <w:r w:rsidR="005B2BBC" w:rsidRPr="00C10CE3">
        <w:rPr>
          <w:rFonts w:eastAsia="Arial Unicode MS"/>
        </w:rPr>
        <w:t>’</w:t>
      </w:r>
      <w:r w:rsidRPr="00C10CE3">
        <w:rPr>
          <w:rFonts w:eastAsia="Arial Unicode MS"/>
        </w:rPr>
        <w:t>Australie et d</w:t>
      </w:r>
      <w:r w:rsidR="005B2BBC" w:rsidRPr="00C10CE3">
        <w:rPr>
          <w:rFonts w:eastAsia="Arial Unicode MS"/>
        </w:rPr>
        <w:t>’</w:t>
      </w:r>
      <w:r w:rsidRPr="00C10CE3">
        <w:rPr>
          <w:rFonts w:eastAsia="Arial Unicode MS"/>
        </w:rPr>
        <w:t>Allemagne ont aussi mis en place des équipes d</w:t>
      </w:r>
      <w:r w:rsidR="005B2BBC" w:rsidRPr="00C10CE3">
        <w:rPr>
          <w:rFonts w:eastAsia="Arial Unicode MS"/>
        </w:rPr>
        <w:t>’</w:t>
      </w:r>
      <w:r w:rsidRPr="00C10CE3">
        <w:rPr>
          <w:rFonts w:eastAsia="Arial Unicode MS"/>
        </w:rPr>
        <w:t>experts en économie comportementale.</w:t>
      </w:r>
    </w:p>
    <w:p w:rsidR="00F30576" w:rsidRPr="00C10CE3" w:rsidRDefault="00F30576" w:rsidP="00E14C9A">
      <w:pPr>
        <w:widowControl w:val="0"/>
        <w:ind w:left="567"/>
        <w:outlineLvl w:val="1"/>
        <w:rPr>
          <w:rFonts w:eastAsia="Arial Unicode MS"/>
        </w:rPr>
      </w:pPr>
    </w:p>
    <w:p w:rsidR="00B23FDC" w:rsidRPr="00C10CE3" w:rsidRDefault="00B23FDC">
      <w:pPr>
        <w:numPr>
          <w:ilvl w:val="1"/>
          <w:numId w:val="1"/>
        </w:numPr>
        <w:ind w:left="567" w:hanging="567"/>
        <w:outlineLvl w:val="1"/>
        <w:rPr>
          <w:rFonts w:eastAsia="Arial Unicode MS"/>
        </w:rPr>
      </w:pPr>
      <w:r w:rsidRPr="00C10CE3">
        <w:rPr>
          <w:rFonts w:eastAsia="Arial Unicode MS"/>
        </w:rPr>
        <w:t>En France, depuis 2013, le secrétariat général pour la modernisation de l</w:t>
      </w:r>
      <w:r w:rsidR="005B2BBC" w:rsidRPr="00C10CE3">
        <w:rPr>
          <w:rFonts w:eastAsia="Arial Unicode MS"/>
        </w:rPr>
        <w:t>’</w:t>
      </w:r>
      <w:r w:rsidRPr="00C10CE3">
        <w:rPr>
          <w:rFonts w:eastAsia="Arial Unicode MS"/>
        </w:rPr>
        <w:t>action publique (SGMAP) et la direction générale des finances publiques (DGFIP)</w:t>
      </w:r>
      <w:r w:rsidRPr="00C10CE3">
        <w:rPr>
          <w:rFonts w:eastAsia="Arial Unicode MS"/>
          <w:sz w:val="24"/>
          <w:vertAlign w:val="superscript"/>
        </w:rPr>
        <w:footnoteReference w:id="8"/>
      </w:r>
      <w:r w:rsidRPr="00C10CE3">
        <w:rPr>
          <w:rFonts w:eastAsia="Arial Unicode MS"/>
        </w:rPr>
        <w:t xml:space="preserve"> multiplient les expérimentations en lien avec les </w:t>
      </w:r>
      <w:r w:rsidRPr="00C10CE3">
        <w:rPr>
          <w:rFonts w:eastAsia="Arial Unicode MS"/>
          <w:i/>
        </w:rPr>
        <w:t>nudges</w:t>
      </w:r>
      <w:r w:rsidRPr="00C10CE3">
        <w:rPr>
          <w:rFonts w:eastAsia="Arial Unicode MS"/>
        </w:rPr>
        <w:t xml:space="preserve">. </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b/>
        </w:rPr>
      </w:pPr>
      <w:r w:rsidRPr="00C10CE3">
        <w:rPr>
          <w:rFonts w:eastAsia="Arial Unicode MS"/>
        </w:rPr>
        <w:t>La Commission européenne a créé</w:t>
      </w:r>
      <w:r w:rsidR="00CE6735" w:rsidRPr="00C10CE3">
        <w:rPr>
          <w:rFonts w:eastAsia="Arial Unicode MS"/>
        </w:rPr>
        <w:t>, au sein du Centre commun de recherche,</w:t>
      </w:r>
      <w:r w:rsidRPr="00C10CE3">
        <w:rPr>
          <w:rFonts w:eastAsia="Arial Unicode MS"/>
        </w:rPr>
        <w:t xml:space="preserve"> une </w:t>
      </w:r>
      <w:r w:rsidR="00CE6735" w:rsidRPr="00C10CE3">
        <w:rPr>
          <w:rFonts w:eastAsia="Arial Unicode MS"/>
        </w:rPr>
        <w:t>unité Prospective et apport des sciences comportementales, placée</w:t>
      </w:r>
      <w:r w:rsidRPr="00C10CE3">
        <w:rPr>
          <w:rFonts w:eastAsia="Arial Unicode MS"/>
        </w:rPr>
        <w:t xml:space="preserve"> sous la responsabilité de Xavier </w:t>
      </w:r>
      <w:r w:rsidR="00F3413D" w:rsidRPr="00C10CE3">
        <w:rPr>
          <w:rFonts w:eastAsia="Arial Unicode MS"/>
        </w:rPr>
        <w:t>TROUSSARD</w:t>
      </w:r>
      <w:r w:rsidRPr="00C10CE3">
        <w:rPr>
          <w:rFonts w:eastAsia="Arial Unicode MS"/>
        </w:rPr>
        <w:t>. Elle a notamment publié un rapport en 2016, qui souligne que les politiques publiques au sein de l</w:t>
      </w:r>
      <w:r w:rsidR="005B2BBC" w:rsidRPr="00C10CE3">
        <w:rPr>
          <w:rFonts w:eastAsia="Arial Unicode MS"/>
        </w:rPr>
        <w:t>’</w:t>
      </w:r>
      <w:r w:rsidRPr="00C10CE3">
        <w:rPr>
          <w:rFonts w:eastAsia="Arial Unicode MS"/>
        </w:rPr>
        <w:t>Union européenne intègrent de plus en plus les apports de l</w:t>
      </w:r>
      <w:r w:rsidR="005B2BBC" w:rsidRPr="00C10CE3">
        <w:rPr>
          <w:rFonts w:eastAsia="Arial Unicode MS"/>
        </w:rPr>
        <w:t>’</w:t>
      </w:r>
      <w:r w:rsidRPr="00C10CE3">
        <w:rPr>
          <w:rFonts w:eastAsia="Arial Unicode MS"/>
        </w:rPr>
        <w:t>économie comportementale</w:t>
      </w:r>
      <w:r w:rsidRPr="00C10CE3">
        <w:rPr>
          <w:rFonts w:eastAsia="Arial Unicode MS"/>
          <w:sz w:val="24"/>
          <w:vertAlign w:val="superscript"/>
        </w:rPr>
        <w:footnoteReference w:id="9"/>
      </w:r>
      <w:r w:rsidRPr="00C10CE3">
        <w:rPr>
          <w:rFonts w:eastAsia="Arial Unicode MS"/>
        </w:rPr>
        <w:t>. Elle considère qu</w:t>
      </w:r>
      <w:r w:rsidR="005B2BBC" w:rsidRPr="00C10CE3">
        <w:rPr>
          <w:rFonts w:eastAsia="Arial Unicode MS"/>
        </w:rPr>
        <w:t>’</w:t>
      </w:r>
      <w:r w:rsidRPr="00C10CE3">
        <w:rPr>
          <w:rFonts w:eastAsia="Arial Unicode MS"/>
        </w:rPr>
        <w:t>il est souhaitable de développer les échanges sur ce sujet entre le monde politique et les milieux universitaires. Surtout, elle recommande d</w:t>
      </w:r>
      <w:r w:rsidR="005B2BBC" w:rsidRPr="00C10CE3">
        <w:rPr>
          <w:rFonts w:eastAsia="Arial Unicode MS"/>
        </w:rPr>
        <w:t>’</w:t>
      </w:r>
      <w:r w:rsidRPr="00C10CE3">
        <w:rPr>
          <w:rFonts w:eastAsia="Arial Unicode MS"/>
        </w:rPr>
        <w:t>accroître l</w:t>
      </w:r>
      <w:r w:rsidR="005B2BBC" w:rsidRPr="00C10CE3">
        <w:rPr>
          <w:rFonts w:eastAsia="Arial Unicode MS"/>
        </w:rPr>
        <w:t>’</w:t>
      </w:r>
      <w:r w:rsidRPr="00C10CE3">
        <w:rPr>
          <w:rFonts w:eastAsia="Arial Unicode MS"/>
        </w:rPr>
        <w:t>utilisation des outils de l</w:t>
      </w:r>
      <w:r w:rsidR="005B2BBC" w:rsidRPr="00C10CE3">
        <w:rPr>
          <w:rFonts w:eastAsia="Arial Unicode MS"/>
        </w:rPr>
        <w:t>’</w:t>
      </w:r>
      <w:r w:rsidRPr="00C10CE3">
        <w:rPr>
          <w:rFonts w:eastAsia="Arial Unicode MS"/>
        </w:rPr>
        <w:t>économie comportementale dans toutes les étapes des politiques publiques, tout en améliorant la communication sur leur utilisation et les connaissances sur leurs impacts.</w:t>
      </w:r>
    </w:p>
    <w:p w:rsidR="00B23FDC" w:rsidRPr="00C10CE3" w:rsidRDefault="00B23FDC" w:rsidP="0085715F">
      <w:pPr>
        <w:ind w:left="567" w:hanging="567"/>
      </w:pPr>
    </w:p>
    <w:p w:rsidR="00B23FDC" w:rsidRPr="00C10CE3" w:rsidRDefault="00B23FDC" w:rsidP="0085715F">
      <w:pPr>
        <w:keepNext/>
        <w:keepLines/>
        <w:numPr>
          <w:ilvl w:val="0"/>
          <w:numId w:val="1"/>
        </w:numPr>
        <w:ind w:left="567" w:hanging="567"/>
        <w:outlineLvl w:val="0"/>
        <w:rPr>
          <w:rFonts w:eastAsia="Arial Unicode MS"/>
          <w:b/>
          <w:kern w:val="28"/>
        </w:rPr>
      </w:pPr>
      <w:r w:rsidRPr="00C10CE3">
        <w:rPr>
          <w:rFonts w:eastAsia="Arial Unicode MS"/>
          <w:b/>
          <w:kern w:val="28"/>
        </w:rPr>
        <w:t>Des risques et des limites à ne pas négliger</w:t>
      </w:r>
    </w:p>
    <w:p w:rsidR="00B23FDC" w:rsidRPr="00C10CE3" w:rsidRDefault="00B23FDC" w:rsidP="0085715F">
      <w:pPr>
        <w:keepNext/>
        <w:keepLines/>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 xml:space="preserve">Le </w:t>
      </w:r>
      <w:r w:rsidRPr="00C10CE3">
        <w:rPr>
          <w:rFonts w:eastAsia="Arial Unicode MS"/>
          <w:i/>
        </w:rPr>
        <w:t>nudge</w:t>
      </w:r>
      <w:r w:rsidRPr="00C10CE3">
        <w:rPr>
          <w:rFonts w:eastAsia="Arial Unicode MS"/>
        </w:rPr>
        <w:t xml:space="preserve"> présente des limites. Il</w:t>
      </w:r>
      <w:r w:rsidR="002701FA" w:rsidRPr="00C10CE3">
        <w:rPr>
          <w:rFonts w:eastAsia="Arial Unicode MS"/>
        </w:rPr>
        <w:t xml:space="preserve"> </w:t>
      </w:r>
      <w:r w:rsidRPr="00C10CE3">
        <w:rPr>
          <w:rFonts w:eastAsia="Arial Unicode MS"/>
        </w:rPr>
        <w:t>exige une grande rigueur de conception et de mise en place, pose des questions à la fois techniques et éthiques. Il ne se substitue pas à l</w:t>
      </w:r>
      <w:r w:rsidR="005B2BBC" w:rsidRPr="00C10CE3">
        <w:rPr>
          <w:rFonts w:eastAsia="Arial Unicode MS"/>
        </w:rPr>
        <w:t>’</w:t>
      </w:r>
      <w:r w:rsidRPr="00C10CE3">
        <w:rPr>
          <w:rFonts w:eastAsia="Arial Unicode MS"/>
        </w:rPr>
        <w:t>impératif d</w:t>
      </w:r>
      <w:r w:rsidR="005B2BBC" w:rsidRPr="00C10CE3">
        <w:rPr>
          <w:rFonts w:eastAsia="Arial Unicode MS"/>
        </w:rPr>
        <w:t>’</w:t>
      </w:r>
      <w:r w:rsidRPr="00C10CE3">
        <w:rPr>
          <w:rFonts w:eastAsia="Arial Unicode MS"/>
        </w:rPr>
        <w:t>information des citoyens et aux démarches pédagogiques visant à éclairer leur choix ni aux moyens d</w:t>
      </w:r>
      <w:r w:rsidR="005B2BBC" w:rsidRPr="00C10CE3">
        <w:rPr>
          <w:rFonts w:eastAsia="Arial Unicode MS"/>
        </w:rPr>
        <w:t>’</w:t>
      </w:r>
      <w:r w:rsidRPr="00C10CE3">
        <w:rPr>
          <w:rFonts w:eastAsia="Arial Unicode MS"/>
        </w:rPr>
        <w:t>action classiques des pouvoirs publics que sont la loi et les leviers d</w:t>
      </w:r>
      <w:r w:rsidR="005B2BBC" w:rsidRPr="00C10CE3">
        <w:rPr>
          <w:rFonts w:eastAsia="Arial Unicode MS"/>
        </w:rPr>
        <w:t>’</w:t>
      </w:r>
      <w:r w:rsidRPr="00C10CE3">
        <w:rPr>
          <w:rFonts w:eastAsia="Arial Unicode MS"/>
        </w:rPr>
        <w:t>incitations économiques. Par ailleurs, les risques et les limites liés à leur utilisation ne doivent pas être sous-estimés.</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Peu d</w:t>
      </w:r>
      <w:r w:rsidR="005B2BBC" w:rsidRPr="00C10CE3">
        <w:rPr>
          <w:rFonts w:eastAsia="Arial Unicode MS"/>
        </w:rPr>
        <w:t>’</w:t>
      </w:r>
      <w:r w:rsidRPr="00C10CE3">
        <w:rPr>
          <w:rFonts w:eastAsia="Arial Unicode MS"/>
        </w:rPr>
        <w:t>études sont pour l</w:t>
      </w:r>
      <w:r w:rsidR="005B2BBC" w:rsidRPr="00C10CE3">
        <w:rPr>
          <w:rFonts w:eastAsia="Arial Unicode MS"/>
        </w:rPr>
        <w:t>’</w:t>
      </w:r>
      <w:r w:rsidRPr="00C10CE3">
        <w:rPr>
          <w:rFonts w:eastAsia="Arial Unicode MS"/>
        </w:rPr>
        <w:t>instant disponibles concernant l</w:t>
      </w:r>
      <w:r w:rsidR="005B2BBC" w:rsidRPr="00C10CE3">
        <w:rPr>
          <w:rFonts w:eastAsia="Arial Unicode MS"/>
        </w:rPr>
        <w:t>’</w:t>
      </w:r>
      <w:r w:rsidRPr="00C10CE3">
        <w:rPr>
          <w:rFonts w:eastAsia="Arial Unicode MS"/>
        </w:rPr>
        <w:t xml:space="preserve">efficacité des </w:t>
      </w:r>
      <w:r w:rsidRPr="00C10CE3">
        <w:rPr>
          <w:rFonts w:eastAsia="Arial Unicode MS"/>
          <w:i/>
        </w:rPr>
        <w:t>nudges</w:t>
      </w:r>
      <w:r w:rsidRPr="00C10CE3">
        <w:rPr>
          <w:rFonts w:eastAsia="Arial Unicode MS"/>
        </w:rPr>
        <w:t>, notamment à moyen et à long terme. Certaines mettent l</w:t>
      </w:r>
      <w:r w:rsidR="005B2BBC" w:rsidRPr="00C10CE3">
        <w:rPr>
          <w:rFonts w:eastAsia="Arial Unicode MS"/>
        </w:rPr>
        <w:t>’</w:t>
      </w:r>
      <w:r w:rsidRPr="00C10CE3">
        <w:rPr>
          <w:rFonts w:eastAsia="Arial Unicode MS"/>
        </w:rPr>
        <w:t>accent sur l</w:t>
      </w:r>
      <w:r w:rsidR="005B2BBC" w:rsidRPr="00C10CE3">
        <w:rPr>
          <w:rFonts w:eastAsia="Arial Unicode MS"/>
        </w:rPr>
        <w:t>’</w:t>
      </w:r>
      <w:r w:rsidRPr="00C10CE3">
        <w:rPr>
          <w:rFonts w:eastAsia="Arial Unicode MS"/>
        </w:rPr>
        <w:t>hétérogénéité des réactions individuelles face à cet outil. Ainsi, dans l</w:t>
      </w:r>
      <w:r w:rsidR="005B2BBC" w:rsidRPr="00C10CE3">
        <w:rPr>
          <w:rFonts w:eastAsia="Arial Unicode MS"/>
        </w:rPr>
        <w:t>’</w:t>
      </w:r>
      <w:r w:rsidRPr="00C10CE3">
        <w:rPr>
          <w:rFonts w:eastAsia="Arial Unicode MS"/>
        </w:rPr>
        <w:t>expérience menée par OPOWER, les ménages dont la consommation d</w:t>
      </w:r>
      <w:r w:rsidR="005B2BBC" w:rsidRPr="00C10CE3">
        <w:rPr>
          <w:rFonts w:eastAsia="Arial Unicode MS"/>
        </w:rPr>
        <w:t>’</w:t>
      </w:r>
      <w:r w:rsidRPr="00C10CE3">
        <w:rPr>
          <w:rFonts w:eastAsia="Arial Unicode MS"/>
        </w:rPr>
        <w:t>électricité était déjà inférieure à la moyenne ont eu tendance à l</w:t>
      </w:r>
      <w:r w:rsidR="005B2BBC" w:rsidRPr="00C10CE3">
        <w:rPr>
          <w:rFonts w:eastAsia="Arial Unicode MS"/>
        </w:rPr>
        <w:t>’</w:t>
      </w:r>
      <w:r w:rsidRPr="00C10CE3">
        <w:rPr>
          <w:rFonts w:eastAsia="Arial Unicode MS"/>
        </w:rPr>
        <w:t>augmenter quand ils ont été informés de leur positionnement. À l</w:t>
      </w:r>
      <w:r w:rsidR="005B2BBC" w:rsidRPr="00C10CE3">
        <w:rPr>
          <w:rFonts w:eastAsia="Arial Unicode MS"/>
        </w:rPr>
        <w:t>’</w:t>
      </w:r>
      <w:r w:rsidRPr="00C10CE3">
        <w:rPr>
          <w:rFonts w:eastAsia="Arial Unicode MS"/>
        </w:rPr>
        <w:t>inverse, pour les habitants qui apprennent qu</w:t>
      </w:r>
      <w:r w:rsidR="005B2BBC" w:rsidRPr="00C10CE3">
        <w:rPr>
          <w:rFonts w:eastAsia="Arial Unicode MS"/>
        </w:rPr>
        <w:t>’</w:t>
      </w:r>
      <w:r w:rsidRPr="00C10CE3">
        <w:rPr>
          <w:rFonts w:eastAsia="Arial Unicode MS"/>
        </w:rPr>
        <w:t>ils consomment beaucoup plus d</w:t>
      </w:r>
      <w:r w:rsidR="005B2BBC" w:rsidRPr="00C10CE3">
        <w:rPr>
          <w:rFonts w:eastAsia="Arial Unicode MS"/>
        </w:rPr>
        <w:t>’</w:t>
      </w:r>
      <w:r w:rsidRPr="00C10CE3">
        <w:rPr>
          <w:rFonts w:eastAsia="Arial Unicode MS"/>
        </w:rPr>
        <w:t xml:space="preserve">électricité que leurs voisins, le </w:t>
      </w:r>
      <w:r w:rsidRPr="00C10CE3">
        <w:rPr>
          <w:rFonts w:eastAsia="Arial Unicode MS"/>
          <w:i/>
        </w:rPr>
        <w:t>nudge</w:t>
      </w:r>
      <w:r w:rsidRPr="00C10CE3">
        <w:rPr>
          <w:rFonts w:eastAsia="Arial Unicode MS"/>
        </w:rPr>
        <w:t xml:space="preserve"> peut générer un sentiment de culpabilité ou d</w:t>
      </w:r>
      <w:r w:rsidR="005B2BBC" w:rsidRPr="00C10CE3">
        <w:rPr>
          <w:rFonts w:eastAsia="Arial Unicode MS"/>
        </w:rPr>
        <w:t>’</w:t>
      </w:r>
      <w:r w:rsidRPr="00C10CE3">
        <w:rPr>
          <w:rFonts w:eastAsia="Arial Unicode MS"/>
        </w:rPr>
        <w:t xml:space="preserve">infériorité. Selon certaines études, la réceptivité aux </w:t>
      </w:r>
      <w:r w:rsidRPr="00C10CE3">
        <w:rPr>
          <w:rFonts w:eastAsia="Arial Unicode MS"/>
          <w:i/>
        </w:rPr>
        <w:t>nudges</w:t>
      </w:r>
      <w:r w:rsidRPr="00C10CE3">
        <w:rPr>
          <w:rFonts w:eastAsia="Arial Unicode MS"/>
        </w:rPr>
        <w:t xml:space="preserve"> peut aussi varier selon les valeurs et les opinions des individus</w:t>
      </w:r>
      <w:r w:rsidRPr="00C10CE3">
        <w:rPr>
          <w:rFonts w:eastAsia="Arial Unicode MS"/>
          <w:sz w:val="24"/>
          <w:vertAlign w:val="superscript"/>
        </w:rPr>
        <w:footnoteReference w:id="10"/>
      </w:r>
      <w:r w:rsidRPr="00C10CE3">
        <w:rPr>
          <w:rFonts w:eastAsia="Arial Unicode MS"/>
        </w:rPr>
        <w:t xml:space="preserve">, mais aussi selon le contexte politique et culturel. Plus généralement, les études réalisées soulignent les impacts différenciés des </w:t>
      </w:r>
      <w:r w:rsidRPr="00C10CE3">
        <w:rPr>
          <w:rFonts w:eastAsia="Arial Unicode MS"/>
          <w:i/>
        </w:rPr>
        <w:t>nudges</w:t>
      </w:r>
      <w:r w:rsidRPr="00C10CE3">
        <w:rPr>
          <w:rFonts w:eastAsia="Arial Unicode MS"/>
        </w:rPr>
        <w:t xml:space="preserve"> selon les publics, les cultures et les contextes. Il est donc nécessaire d</w:t>
      </w:r>
      <w:r w:rsidR="005B2BBC" w:rsidRPr="00C10CE3">
        <w:rPr>
          <w:rFonts w:eastAsia="Arial Unicode MS"/>
        </w:rPr>
        <w:t>’</w:t>
      </w:r>
      <w:r w:rsidRPr="00C10CE3">
        <w:rPr>
          <w:rFonts w:eastAsia="Arial Unicode MS"/>
        </w:rPr>
        <w:t>évaluer directement ou de manière aléatoire les effets des nudges.</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Se pose aussi la question de la durée de l</w:t>
      </w:r>
      <w:r w:rsidR="005B2BBC" w:rsidRPr="00C10CE3">
        <w:rPr>
          <w:rFonts w:eastAsia="Arial Unicode MS"/>
        </w:rPr>
        <w:t>’</w:t>
      </w:r>
      <w:r w:rsidRPr="00C10CE3">
        <w:rPr>
          <w:rFonts w:eastAsia="Arial Unicode MS"/>
        </w:rPr>
        <w:t xml:space="preserve">impact des </w:t>
      </w:r>
      <w:r w:rsidRPr="00C10CE3">
        <w:rPr>
          <w:rFonts w:eastAsia="Arial Unicode MS"/>
          <w:i/>
        </w:rPr>
        <w:t>nudges</w:t>
      </w:r>
      <w:r w:rsidRPr="00C10CE3">
        <w:rPr>
          <w:rFonts w:eastAsia="Arial Unicode MS"/>
        </w:rPr>
        <w:t>. Dans le domaine de la consommation d</w:t>
      </w:r>
      <w:r w:rsidR="005B2BBC" w:rsidRPr="00C10CE3">
        <w:rPr>
          <w:rFonts w:eastAsia="Arial Unicode MS"/>
        </w:rPr>
        <w:t>’</w:t>
      </w:r>
      <w:r w:rsidRPr="00C10CE3">
        <w:rPr>
          <w:rFonts w:eastAsia="Arial Unicode MS"/>
        </w:rPr>
        <w:t>eau et d</w:t>
      </w:r>
      <w:r w:rsidR="005B2BBC" w:rsidRPr="00C10CE3">
        <w:rPr>
          <w:rFonts w:eastAsia="Arial Unicode MS"/>
        </w:rPr>
        <w:t>’</w:t>
      </w:r>
      <w:r w:rsidRPr="00C10CE3">
        <w:rPr>
          <w:rFonts w:eastAsia="Arial Unicode MS"/>
        </w:rPr>
        <w:t>électricité, des études ont montré que l</w:t>
      </w:r>
      <w:r w:rsidR="005B2BBC" w:rsidRPr="00C10CE3">
        <w:rPr>
          <w:rFonts w:eastAsia="Arial Unicode MS"/>
        </w:rPr>
        <w:t>’</w:t>
      </w:r>
      <w:r w:rsidRPr="00C10CE3">
        <w:rPr>
          <w:rFonts w:eastAsia="Arial Unicode MS"/>
        </w:rPr>
        <w:t>effet répété des normes sociales a tendance à diminuer au cours du temps, même s</w:t>
      </w:r>
      <w:r w:rsidR="005B2BBC" w:rsidRPr="00C10CE3">
        <w:rPr>
          <w:rFonts w:eastAsia="Arial Unicode MS"/>
        </w:rPr>
        <w:t>’</w:t>
      </w:r>
      <w:r w:rsidRPr="00C10CE3">
        <w:rPr>
          <w:rFonts w:eastAsia="Arial Unicode MS"/>
        </w:rPr>
        <w:t>il peut se maintenir après plusieurs années, de manière atténuée</w:t>
      </w:r>
      <w:r w:rsidRPr="00C10CE3">
        <w:rPr>
          <w:rFonts w:eastAsia="Arial Unicode MS"/>
          <w:sz w:val="24"/>
          <w:vertAlign w:val="superscript"/>
        </w:rPr>
        <w:footnoteReference w:id="11"/>
      </w:r>
      <w:r w:rsidRPr="00C10CE3">
        <w:rPr>
          <w:rFonts w:eastAsia="Arial Unicode MS"/>
        </w:rPr>
        <w:t>. L</w:t>
      </w:r>
      <w:r w:rsidR="005B2BBC" w:rsidRPr="00C10CE3">
        <w:rPr>
          <w:rFonts w:eastAsia="Arial Unicode MS"/>
        </w:rPr>
        <w:t>’</w:t>
      </w:r>
      <w:r w:rsidRPr="00C10CE3">
        <w:rPr>
          <w:rFonts w:eastAsia="Arial Unicode MS"/>
        </w:rPr>
        <w:t xml:space="preserve">effet à long terme des </w:t>
      </w:r>
      <w:r w:rsidRPr="00C10CE3">
        <w:rPr>
          <w:rFonts w:eastAsia="Arial Unicode MS"/>
          <w:i/>
        </w:rPr>
        <w:t>nudges</w:t>
      </w:r>
      <w:r w:rsidRPr="00C10CE3">
        <w:rPr>
          <w:rFonts w:eastAsia="Arial Unicode MS"/>
        </w:rPr>
        <w:t xml:space="preserve"> dépend de leur capacité à changer en profondeur les habitudes. Une fois qu</w:t>
      </w:r>
      <w:r w:rsidR="005B2BBC" w:rsidRPr="00C10CE3">
        <w:rPr>
          <w:rFonts w:eastAsia="Arial Unicode MS"/>
        </w:rPr>
        <w:t>’</w:t>
      </w:r>
      <w:r w:rsidRPr="00C10CE3">
        <w:rPr>
          <w:rFonts w:eastAsia="Arial Unicode MS"/>
        </w:rPr>
        <w:t>une option par défaut est changée, si celle-ci est maintenue, il n</w:t>
      </w:r>
      <w:r w:rsidR="005B2BBC" w:rsidRPr="00C10CE3">
        <w:rPr>
          <w:rFonts w:eastAsia="Arial Unicode MS"/>
        </w:rPr>
        <w:t>’</w:t>
      </w:r>
      <w:r w:rsidRPr="00C10CE3">
        <w:rPr>
          <w:rFonts w:eastAsia="Arial Unicode MS"/>
        </w:rPr>
        <w:t>y a pas de raison de penser que les comportements ne vont pas persister. Le problème ici porte plutôt sur la possibilité d</w:t>
      </w:r>
      <w:r w:rsidR="005B2BBC" w:rsidRPr="00C10CE3">
        <w:rPr>
          <w:rFonts w:eastAsia="Arial Unicode MS"/>
        </w:rPr>
        <w:t>’</w:t>
      </w:r>
      <w:r w:rsidRPr="00C10CE3">
        <w:rPr>
          <w:rFonts w:eastAsia="Arial Unicode MS"/>
        </w:rPr>
        <w:t>aller plus loin, ou de moduler. Il semble en effet plus facile d</w:t>
      </w:r>
      <w:r w:rsidR="005B2BBC" w:rsidRPr="00C10CE3">
        <w:rPr>
          <w:rFonts w:eastAsia="Arial Unicode MS"/>
        </w:rPr>
        <w:t>’</w:t>
      </w:r>
      <w:r w:rsidRPr="00C10CE3">
        <w:rPr>
          <w:rFonts w:eastAsia="Arial Unicode MS"/>
        </w:rPr>
        <w:t>ajuster de manière graduée une taxe ou une norme plutôt qu</w:t>
      </w:r>
      <w:r w:rsidR="005B2BBC" w:rsidRPr="00C10CE3">
        <w:rPr>
          <w:rFonts w:eastAsia="Arial Unicode MS"/>
        </w:rPr>
        <w:t>’</w:t>
      </w:r>
      <w:r w:rsidRPr="00C10CE3">
        <w:rPr>
          <w:rFonts w:eastAsia="Arial Unicode MS"/>
        </w:rPr>
        <w:t xml:space="preserve">une option par défaut. </w:t>
      </w:r>
    </w:p>
    <w:p w:rsidR="00B23FDC" w:rsidRPr="00C10CE3" w:rsidRDefault="00B23FDC" w:rsidP="0085715F">
      <w:pPr>
        <w:ind w:left="567" w:hanging="567"/>
        <w:rPr>
          <w:rFonts w:eastAsia="Arial Unicode MS"/>
        </w:rPr>
      </w:pPr>
    </w:p>
    <w:p w:rsidR="00B23FDC" w:rsidRPr="00C10CE3" w:rsidRDefault="00B23FDC" w:rsidP="00577B11">
      <w:pPr>
        <w:pStyle w:val="Heading2"/>
        <w:rPr>
          <w:rFonts w:eastAsia="Arial Unicode MS"/>
        </w:rPr>
      </w:pPr>
      <w:r w:rsidRPr="00C10CE3">
        <w:rPr>
          <w:rFonts w:eastAsia="Arial Unicode MS"/>
        </w:rPr>
        <w:t xml:space="preserve">Les </w:t>
      </w:r>
      <w:r w:rsidRPr="00C10CE3">
        <w:rPr>
          <w:rFonts w:eastAsia="Arial Unicode MS"/>
          <w:i/>
        </w:rPr>
        <w:t>nudges</w:t>
      </w:r>
      <w:r w:rsidRPr="00C10CE3">
        <w:rPr>
          <w:rFonts w:eastAsia="Arial Unicode MS"/>
        </w:rPr>
        <w:t xml:space="preserve"> peuvent entraîner des effets négatifs, qui se traduisent par le fait qu</w:t>
      </w:r>
      <w:r w:rsidR="005B2BBC" w:rsidRPr="00C10CE3">
        <w:rPr>
          <w:rFonts w:eastAsia="Arial Unicode MS"/>
        </w:rPr>
        <w:t>’</w:t>
      </w:r>
      <w:r w:rsidRPr="00C10CE3">
        <w:rPr>
          <w:rFonts w:eastAsia="Arial Unicode MS"/>
        </w:rPr>
        <w:t>un individu peut avoir tendance à agir de manière plus vertueuse après avoir mal agi, et inversement. Par exemple, des expériences ont montré que l</w:t>
      </w:r>
      <w:r w:rsidR="005B2BBC" w:rsidRPr="00C10CE3">
        <w:rPr>
          <w:rFonts w:eastAsia="Arial Unicode MS"/>
        </w:rPr>
        <w:t>’</w:t>
      </w:r>
      <w:r w:rsidRPr="00C10CE3">
        <w:rPr>
          <w:rFonts w:eastAsia="Arial Unicode MS"/>
        </w:rPr>
        <w:t>achat de biens de consommation «verts» pouvait être suivi</w:t>
      </w:r>
      <w:r w:rsidR="0050159A" w:rsidRPr="00C10CE3">
        <w:rPr>
          <w:rFonts w:eastAsia="Arial Unicode MS"/>
        </w:rPr>
        <w:t>,</w:t>
      </w:r>
      <w:r w:rsidRPr="00C10CE3">
        <w:rPr>
          <w:rFonts w:eastAsia="Arial Unicode MS"/>
        </w:rPr>
        <w:t xml:space="preserve"> </w:t>
      </w:r>
      <w:r w:rsidR="00577B11" w:rsidRPr="00C10CE3">
        <w:rPr>
          <w:rFonts w:eastAsia="Arial Unicode MS"/>
        </w:rPr>
        <w:t>dans certaines circonstances</w:t>
      </w:r>
      <w:r w:rsidR="0050159A" w:rsidRPr="00C10CE3">
        <w:rPr>
          <w:rFonts w:eastAsia="Arial Unicode MS"/>
        </w:rPr>
        <w:t>,</w:t>
      </w:r>
      <w:r w:rsidR="00577B11" w:rsidRPr="00C10CE3">
        <w:rPr>
          <w:rFonts w:eastAsia="Arial Unicode MS"/>
        </w:rPr>
        <w:t xml:space="preserve"> </w:t>
      </w:r>
      <w:r w:rsidRPr="00C10CE3">
        <w:rPr>
          <w:rFonts w:eastAsia="Arial Unicode MS"/>
        </w:rPr>
        <w:t>d</w:t>
      </w:r>
      <w:r w:rsidR="005B2BBC" w:rsidRPr="00C10CE3">
        <w:rPr>
          <w:rFonts w:eastAsia="Arial Unicode MS"/>
        </w:rPr>
        <w:t>’</w:t>
      </w:r>
      <w:r w:rsidRPr="00C10CE3">
        <w:rPr>
          <w:rFonts w:eastAsia="Arial Unicode MS"/>
        </w:rPr>
        <w:t xml:space="preserve">une augmentation de la fréquence de comportements </w:t>
      </w:r>
      <w:r w:rsidR="00577B11" w:rsidRPr="00C10CE3">
        <w:rPr>
          <w:rFonts w:eastAsia="Arial Unicode MS"/>
        </w:rPr>
        <w:t xml:space="preserve">négatifs </w:t>
      </w:r>
      <w:r w:rsidRPr="00C10CE3">
        <w:rPr>
          <w:rFonts w:eastAsia="Arial Unicode MS"/>
        </w:rPr>
        <w:t>comme la triche ou le vol</w:t>
      </w:r>
      <w:r w:rsidRPr="00C10CE3">
        <w:rPr>
          <w:rFonts w:eastAsia="Arial Unicode MS"/>
          <w:sz w:val="24"/>
          <w:vertAlign w:val="superscript"/>
        </w:rPr>
        <w:footnoteReference w:id="12"/>
      </w:r>
      <w:r w:rsidRPr="00C10CE3">
        <w:rPr>
          <w:rFonts w:eastAsia="Arial Unicode MS"/>
        </w:rPr>
        <w:t>. Les efforts pour encourager des attitudes vertueuses dans certains domaines peuvent donc avoir des conséquences négatives dans d</w:t>
      </w:r>
      <w:r w:rsidR="005B2BBC" w:rsidRPr="00C10CE3">
        <w:rPr>
          <w:rFonts w:eastAsia="Arial Unicode MS"/>
        </w:rPr>
        <w:t>’</w:t>
      </w:r>
      <w:r w:rsidRPr="00C10CE3">
        <w:rPr>
          <w:rFonts w:eastAsia="Arial Unicode MS"/>
        </w:rPr>
        <w:t>autres domaines. Ces effets pervers, s</w:t>
      </w:r>
      <w:r w:rsidR="005B2BBC" w:rsidRPr="00C10CE3">
        <w:rPr>
          <w:rFonts w:eastAsia="Arial Unicode MS"/>
        </w:rPr>
        <w:t>’</w:t>
      </w:r>
      <w:r w:rsidRPr="00C10CE3">
        <w:rPr>
          <w:rFonts w:eastAsia="Arial Unicode MS"/>
        </w:rPr>
        <w:t>ils se confirment, rendent très difficile l</w:t>
      </w:r>
      <w:r w:rsidR="005B2BBC" w:rsidRPr="00C10CE3">
        <w:rPr>
          <w:rFonts w:eastAsia="Arial Unicode MS"/>
        </w:rPr>
        <w:t>’</w:t>
      </w:r>
      <w:r w:rsidRPr="00C10CE3">
        <w:rPr>
          <w:rFonts w:eastAsia="Arial Unicode MS"/>
        </w:rPr>
        <w:t>évaluation de l</w:t>
      </w:r>
      <w:r w:rsidR="005B2BBC" w:rsidRPr="00C10CE3">
        <w:rPr>
          <w:rFonts w:eastAsia="Arial Unicode MS"/>
        </w:rPr>
        <w:t>’</w:t>
      </w:r>
      <w:r w:rsidRPr="00C10CE3">
        <w:rPr>
          <w:rFonts w:eastAsia="Arial Unicode MS"/>
        </w:rPr>
        <w:t xml:space="preserve">impact global des </w:t>
      </w:r>
      <w:r w:rsidRPr="00C10CE3">
        <w:rPr>
          <w:rFonts w:eastAsia="Arial Unicode MS"/>
          <w:i/>
        </w:rPr>
        <w:t>nudges</w:t>
      </w:r>
      <w:r w:rsidRPr="00C10CE3">
        <w:rPr>
          <w:rFonts w:eastAsia="Arial Unicode MS"/>
        </w:rPr>
        <w:t>.</w:t>
      </w:r>
      <w:r w:rsidR="0090460E" w:rsidRPr="00C10CE3">
        <w:rPr>
          <w:rFonts w:eastAsia="Arial Unicode MS"/>
        </w:rPr>
        <w:t xml:space="preserve"> </w:t>
      </w:r>
      <w:r w:rsidRPr="00C10CE3">
        <w:rPr>
          <w:rFonts w:eastAsia="Arial Unicode MS"/>
        </w:rPr>
        <w:t>Ils sont vraisemblablement très rares et ne remettent pas en cause l</w:t>
      </w:r>
      <w:r w:rsidR="005B2BBC" w:rsidRPr="00C10CE3">
        <w:rPr>
          <w:rFonts w:eastAsia="Arial Unicode MS"/>
        </w:rPr>
        <w:t>’</w:t>
      </w:r>
      <w:r w:rsidRPr="00C10CE3">
        <w:rPr>
          <w:rFonts w:eastAsia="Arial Unicode MS"/>
        </w:rPr>
        <w:t>intérêt des démarches de nudge. Il convient toutefois de ne pas exclure la possibilité de ce type d</w:t>
      </w:r>
      <w:r w:rsidR="005B2BBC" w:rsidRPr="00C10CE3">
        <w:rPr>
          <w:rFonts w:eastAsia="Arial Unicode MS"/>
        </w:rPr>
        <w:t>’</w:t>
      </w:r>
      <w:r w:rsidRPr="00C10CE3">
        <w:rPr>
          <w:rFonts w:eastAsia="Arial Unicode MS"/>
        </w:rPr>
        <w:t>effets.</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rPr>
          <w:rFonts w:eastAsia="Arial Unicode MS"/>
        </w:rPr>
      </w:pPr>
      <w:r w:rsidRPr="00C10CE3">
        <w:rPr>
          <w:rFonts w:eastAsia="Arial Unicode MS"/>
        </w:rPr>
        <w:t>L</w:t>
      </w:r>
      <w:r w:rsidR="005B2BBC" w:rsidRPr="00C10CE3">
        <w:rPr>
          <w:rFonts w:eastAsia="Arial Unicode MS"/>
        </w:rPr>
        <w:t>’</w:t>
      </w:r>
      <w:r w:rsidRPr="00C10CE3">
        <w:rPr>
          <w:rFonts w:eastAsia="Arial Unicode MS"/>
        </w:rPr>
        <w:t>efficacité d</w:t>
      </w:r>
      <w:r w:rsidR="005B2BBC" w:rsidRPr="00C10CE3">
        <w:rPr>
          <w:rFonts w:eastAsia="Arial Unicode MS"/>
        </w:rPr>
        <w:t>’</w:t>
      </w:r>
      <w:r w:rsidRPr="00C10CE3">
        <w:rPr>
          <w:rFonts w:eastAsia="Arial Unicode MS"/>
        </w:rPr>
        <w:t xml:space="preserve">un </w:t>
      </w:r>
      <w:r w:rsidRPr="00C10CE3">
        <w:rPr>
          <w:rFonts w:eastAsia="Arial Unicode MS"/>
          <w:i/>
        </w:rPr>
        <w:t>nudge</w:t>
      </w:r>
      <w:r w:rsidRPr="00C10CE3">
        <w:rPr>
          <w:rFonts w:eastAsia="Arial Unicode MS"/>
        </w:rPr>
        <w:t xml:space="preserve"> est établie par rapport à un comportement souhaitable, ce qui pose la question de la définition et de la mesure de ce qui est souhaitable. Il peut en effet être très difficile de connaître les jugements des citoyens sur leur propre bonheur. Le </w:t>
      </w:r>
      <w:r w:rsidRPr="00C10CE3">
        <w:rPr>
          <w:rFonts w:eastAsia="Arial Unicode MS"/>
          <w:i/>
        </w:rPr>
        <w:t>nudge</w:t>
      </w:r>
      <w:r w:rsidRPr="00C10CE3">
        <w:rPr>
          <w:rFonts w:eastAsia="Arial Unicode MS"/>
        </w:rPr>
        <w:t xml:space="preserve"> pose aussi la question de savoir qui décide de l</w:t>
      </w:r>
      <w:r w:rsidR="005B2BBC" w:rsidRPr="00C10CE3">
        <w:rPr>
          <w:rFonts w:eastAsia="Arial Unicode MS"/>
        </w:rPr>
        <w:t>’</w:t>
      </w:r>
      <w:r w:rsidRPr="00C10CE3">
        <w:rPr>
          <w:rFonts w:eastAsia="Arial Unicode MS"/>
        </w:rPr>
        <w:t>objectif poursuivi, donc de ce qui est souhaitable pour l</w:t>
      </w:r>
      <w:r w:rsidR="005B2BBC" w:rsidRPr="00C10CE3">
        <w:rPr>
          <w:rFonts w:eastAsia="Arial Unicode MS"/>
        </w:rPr>
        <w:t>’</w:t>
      </w:r>
      <w:r w:rsidRPr="00C10CE3">
        <w:rPr>
          <w:rFonts w:eastAsia="Arial Unicode MS"/>
        </w:rPr>
        <w:t>individu et/ou la société. S</w:t>
      </w:r>
      <w:r w:rsidR="005B2BBC" w:rsidRPr="00C10CE3">
        <w:rPr>
          <w:rFonts w:eastAsia="Arial Unicode MS"/>
        </w:rPr>
        <w:t>’</w:t>
      </w:r>
      <w:r w:rsidRPr="00C10CE3">
        <w:rPr>
          <w:rFonts w:eastAsia="Arial Unicode MS"/>
        </w:rPr>
        <w:t>il s</w:t>
      </w:r>
      <w:r w:rsidR="005B2BBC" w:rsidRPr="00C10CE3">
        <w:rPr>
          <w:rFonts w:eastAsia="Arial Unicode MS"/>
        </w:rPr>
        <w:t>’</w:t>
      </w:r>
      <w:r w:rsidRPr="00C10CE3">
        <w:rPr>
          <w:rFonts w:eastAsia="Arial Unicode MS"/>
        </w:rPr>
        <w:t>agit d</w:t>
      </w:r>
      <w:r w:rsidR="005B2BBC" w:rsidRPr="00C10CE3">
        <w:rPr>
          <w:rFonts w:eastAsia="Arial Unicode MS"/>
        </w:rPr>
        <w:t>’</w:t>
      </w:r>
      <w:r w:rsidRPr="00C10CE3">
        <w:rPr>
          <w:rFonts w:eastAsia="Arial Unicode MS"/>
        </w:rPr>
        <w:t xml:space="preserve">un décideur public, il peut orienter cet objectif ainsi que le </w:t>
      </w:r>
      <w:r w:rsidRPr="00C10CE3">
        <w:rPr>
          <w:rFonts w:eastAsia="Arial Unicode MS"/>
          <w:i/>
        </w:rPr>
        <w:t>nudge</w:t>
      </w:r>
      <w:r w:rsidRPr="00C10CE3">
        <w:rPr>
          <w:rFonts w:eastAsia="Arial Unicode MS"/>
        </w:rPr>
        <w:t xml:space="preserve"> de manière opportuniste, mais aussi de façon moins intentionnelle, par manque d</w:t>
      </w:r>
      <w:r w:rsidR="005B2BBC" w:rsidRPr="00C10CE3">
        <w:rPr>
          <w:rFonts w:eastAsia="Arial Unicode MS"/>
        </w:rPr>
        <w:t>’</w:t>
      </w:r>
      <w:r w:rsidRPr="00C10CE3">
        <w:rPr>
          <w:rFonts w:eastAsia="Arial Unicode MS"/>
        </w:rPr>
        <w:t xml:space="preserve">informations par exemple. </w:t>
      </w:r>
    </w:p>
    <w:p w:rsidR="00B23FDC" w:rsidRPr="00C10CE3" w:rsidRDefault="00B23FDC" w:rsidP="0085715F">
      <w:pPr>
        <w:ind w:left="567" w:hanging="567"/>
        <w:rPr>
          <w:rFonts w:eastAsia="Arial Unicode MS"/>
        </w:rPr>
      </w:pPr>
    </w:p>
    <w:p w:rsidR="00B23FDC" w:rsidRPr="00C10CE3" w:rsidRDefault="00B23FDC" w:rsidP="0085715F">
      <w:pPr>
        <w:numPr>
          <w:ilvl w:val="1"/>
          <w:numId w:val="1"/>
        </w:numPr>
        <w:ind w:left="567" w:hanging="567"/>
        <w:outlineLvl w:val="1"/>
      </w:pPr>
      <w:r w:rsidRPr="00C10CE3">
        <w:rPr>
          <w:rFonts w:eastAsia="Arial Unicode MS"/>
        </w:rPr>
        <w:t>Enfin, la frontière est parfois difficile à définir entre information, communication et manipulation. Ainsi, parmi les nombreux hôtels qui incitent leurs clients à réutiliser leur serviette, certains présentent pour cela des taux volontairement «gonflés» d</w:t>
      </w:r>
      <w:r w:rsidR="005B2BBC" w:rsidRPr="00C10CE3">
        <w:rPr>
          <w:rFonts w:eastAsia="Arial Unicode MS"/>
        </w:rPr>
        <w:t>’</w:t>
      </w:r>
      <w:r w:rsidRPr="00C10CE3">
        <w:rPr>
          <w:rFonts w:eastAsia="Arial Unicode MS"/>
        </w:rPr>
        <w:t>utilisateurs qui le font déjà</w:t>
      </w:r>
      <w:r w:rsidRPr="00C10CE3">
        <w:rPr>
          <w:rFonts w:eastAsia="Arial Unicode MS"/>
          <w:sz w:val="24"/>
          <w:vertAlign w:val="superscript"/>
        </w:rPr>
        <w:footnoteReference w:id="13"/>
      </w:r>
      <w:r w:rsidRPr="00C10CE3">
        <w:rPr>
          <w:rFonts w:eastAsia="Arial Unicode MS"/>
        </w:rPr>
        <w:t>. L</w:t>
      </w:r>
      <w:r w:rsidR="005B2BBC" w:rsidRPr="00C10CE3">
        <w:rPr>
          <w:rFonts w:eastAsia="Arial Unicode MS"/>
        </w:rPr>
        <w:t>’</w:t>
      </w:r>
      <w:r w:rsidRPr="00C10CE3">
        <w:rPr>
          <w:rFonts w:eastAsia="Arial Unicode MS"/>
        </w:rPr>
        <w:t>objectif de ces messages n</w:t>
      </w:r>
      <w:r w:rsidR="005B2BBC" w:rsidRPr="00C10CE3">
        <w:rPr>
          <w:rFonts w:eastAsia="Arial Unicode MS"/>
        </w:rPr>
        <w:t>’</w:t>
      </w:r>
      <w:r w:rsidRPr="00C10CE3">
        <w:rPr>
          <w:rFonts w:eastAsia="Arial Unicode MS"/>
        </w:rPr>
        <w:t>est pas de tromper leurs destinataires, mais d</w:t>
      </w:r>
      <w:r w:rsidR="005B2BBC" w:rsidRPr="00C10CE3">
        <w:rPr>
          <w:rFonts w:eastAsia="Arial Unicode MS"/>
        </w:rPr>
        <w:t>’</w:t>
      </w:r>
      <w:r w:rsidRPr="00C10CE3">
        <w:rPr>
          <w:rFonts w:eastAsia="Arial Unicode MS"/>
        </w:rPr>
        <w:t>accomplir en quelque sorte une prophétie auto-réalisatrice, en faisant en sorte qu</w:t>
      </w:r>
      <w:r w:rsidR="005B2BBC" w:rsidRPr="00C10CE3">
        <w:rPr>
          <w:rFonts w:eastAsia="Arial Unicode MS"/>
        </w:rPr>
        <w:t>’</w:t>
      </w:r>
      <w:r w:rsidRPr="00C10CE3">
        <w:rPr>
          <w:rFonts w:eastAsia="Arial Unicode MS"/>
        </w:rPr>
        <w:t>ils deviennent vrais. Mais, de fait, les clients sont amenés à baser leur comportement sur un mensonge. Ce recours au mensonge, même si celui-ci conduit à des comportements plus vertueux, n</w:t>
      </w:r>
      <w:r w:rsidR="005B2BBC" w:rsidRPr="00C10CE3">
        <w:rPr>
          <w:rFonts w:eastAsia="Arial Unicode MS"/>
        </w:rPr>
        <w:t>’</w:t>
      </w:r>
      <w:r w:rsidRPr="00C10CE3">
        <w:rPr>
          <w:rFonts w:eastAsia="Arial Unicode MS"/>
        </w:rPr>
        <w:t xml:space="preserve">apparaît pas acceptable moralement, </w:t>
      </w:r>
      <w:r w:rsidRPr="00C10CE3">
        <w:rPr>
          <w:rFonts w:eastAsia="Arial Unicode MS"/>
          <w:i/>
        </w:rPr>
        <w:t>a fortiori</w:t>
      </w:r>
      <w:r w:rsidRPr="00C10CE3">
        <w:rPr>
          <w:rFonts w:eastAsia="Arial Unicode MS"/>
        </w:rPr>
        <w:t xml:space="preserve"> de la part d</w:t>
      </w:r>
      <w:r w:rsidR="005B2BBC" w:rsidRPr="00C10CE3">
        <w:rPr>
          <w:rFonts w:eastAsia="Arial Unicode MS"/>
        </w:rPr>
        <w:t>’</w:t>
      </w:r>
      <w:r w:rsidRPr="00C10CE3">
        <w:rPr>
          <w:rFonts w:eastAsia="Arial Unicode MS"/>
        </w:rPr>
        <w:t>un décideur public. Il peut aussi entacher la réputation de ce décideur, et réduire à terme l</w:t>
      </w:r>
      <w:r w:rsidR="005B2BBC" w:rsidRPr="00C10CE3">
        <w:rPr>
          <w:rFonts w:eastAsia="Arial Unicode MS"/>
        </w:rPr>
        <w:t>’</w:t>
      </w:r>
      <w:r w:rsidRPr="00C10CE3">
        <w:rPr>
          <w:rFonts w:eastAsia="Arial Unicode MS"/>
        </w:rPr>
        <w:t xml:space="preserve">efficacité des </w:t>
      </w:r>
      <w:r w:rsidRPr="00C10CE3">
        <w:rPr>
          <w:rFonts w:eastAsia="Arial Unicode MS"/>
          <w:i/>
        </w:rPr>
        <w:t>nudges</w:t>
      </w:r>
      <w:r w:rsidRPr="00C10CE3">
        <w:rPr>
          <w:rFonts w:eastAsia="Arial Unicode MS"/>
        </w:rPr>
        <w:t xml:space="preserve">, en infantilisant les consommateurs. </w:t>
      </w:r>
    </w:p>
    <w:p w:rsidR="00B95F73" w:rsidRPr="00C10CE3" w:rsidRDefault="00B95F73" w:rsidP="0085715F">
      <w:pPr>
        <w:ind w:left="567" w:hanging="567"/>
      </w:pPr>
    </w:p>
    <w:p w:rsidR="00B95F73" w:rsidRPr="00C10CE3" w:rsidRDefault="00B95F73" w:rsidP="00B95F73">
      <w:pPr>
        <w:overflowPunct w:val="0"/>
        <w:autoSpaceDE w:val="0"/>
        <w:autoSpaceDN w:val="0"/>
        <w:adjustRightInd w:val="0"/>
        <w:textAlignment w:val="baseline"/>
        <w:rPr>
          <w:szCs w:val="20"/>
          <w:lang w:eastAsia="fr-FR" w:bidi="fr-FR"/>
        </w:rPr>
      </w:pPr>
      <w:r w:rsidRPr="00C10CE3">
        <w:rPr>
          <w:szCs w:val="20"/>
          <w:lang w:eastAsia="fr-FR" w:bidi="fr-FR"/>
        </w:rPr>
        <w:t>Bruxelles, le </w:t>
      </w:r>
      <w:r w:rsidR="00232FEC" w:rsidRPr="00C10CE3">
        <w:rPr>
          <w:szCs w:val="20"/>
          <w:lang w:eastAsia="fr-FR" w:bidi="fr-FR"/>
        </w:rPr>
        <w:t>15</w:t>
      </w:r>
      <w:r w:rsidRPr="00C10CE3">
        <w:rPr>
          <w:szCs w:val="20"/>
          <w:lang w:eastAsia="fr-FR" w:bidi="fr-FR"/>
        </w:rPr>
        <w:t> </w:t>
      </w:r>
      <w:r w:rsidR="00232FEC" w:rsidRPr="00C10CE3">
        <w:rPr>
          <w:szCs w:val="20"/>
          <w:lang w:eastAsia="fr-FR" w:bidi="fr-FR"/>
        </w:rPr>
        <w:t>décembre</w:t>
      </w:r>
      <w:r w:rsidRPr="00C10CE3">
        <w:rPr>
          <w:szCs w:val="20"/>
          <w:lang w:eastAsia="fr-FR" w:bidi="fr-FR"/>
        </w:rPr>
        <w:t> 2016</w:t>
      </w:r>
    </w:p>
    <w:p w:rsidR="00B95F73" w:rsidRPr="00C10CE3" w:rsidRDefault="00B95F73" w:rsidP="00B95F73">
      <w:pPr>
        <w:overflowPunct w:val="0"/>
        <w:autoSpaceDE w:val="0"/>
        <w:autoSpaceDN w:val="0"/>
        <w:adjustRightInd w:val="0"/>
        <w:textAlignment w:val="baseline"/>
        <w:rPr>
          <w:szCs w:val="20"/>
          <w:lang w:eastAsia="fr-FR" w:bidi="fr-FR"/>
        </w:rPr>
      </w:pPr>
    </w:p>
    <w:p w:rsidR="00B95F73" w:rsidRPr="00C10CE3" w:rsidRDefault="00B95F73" w:rsidP="00B95F73">
      <w:pPr>
        <w:overflowPunct w:val="0"/>
        <w:autoSpaceDE w:val="0"/>
        <w:autoSpaceDN w:val="0"/>
        <w:adjustRightInd w:val="0"/>
        <w:textAlignment w:val="baseline"/>
        <w:rPr>
          <w:szCs w:val="20"/>
          <w:lang w:eastAsia="fr-FR" w:bidi="fr-FR"/>
        </w:rPr>
      </w:pPr>
    </w:p>
    <w:p w:rsidR="00F30576" w:rsidRPr="00C10CE3" w:rsidRDefault="00F30576" w:rsidP="00B95F73">
      <w:pPr>
        <w:overflowPunct w:val="0"/>
        <w:autoSpaceDE w:val="0"/>
        <w:autoSpaceDN w:val="0"/>
        <w:adjustRightInd w:val="0"/>
        <w:textAlignment w:val="baseline"/>
        <w:rPr>
          <w:szCs w:val="20"/>
          <w:lang w:eastAsia="fr-FR" w:bidi="fr-FR"/>
        </w:rPr>
      </w:pPr>
    </w:p>
    <w:p w:rsidR="00F3413D" w:rsidRPr="00C10CE3" w:rsidRDefault="00F3413D" w:rsidP="00B95F73">
      <w:pPr>
        <w:overflowPunct w:val="0"/>
        <w:autoSpaceDE w:val="0"/>
        <w:autoSpaceDN w:val="0"/>
        <w:adjustRightInd w:val="0"/>
        <w:textAlignment w:val="baseline"/>
        <w:rPr>
          <w:szCs w:val="20"/>
          <w:lang w:eastAsia="fr-FR" w:bidi="fr-FR"/>
        </w:rPr>
      </w:pPr>
    </w:p>
    <w:p w:rsidR="00232FEC" w:rsidRPr="00C10CE3" w:rsidRDefault="00232FEC" w:rsidP="00232FEC">
      <w:pPr>
        <w:jc w:val="left"/>
      </w:pPr>
      <w:r w:rsidRPr="00C10CE3">
        <w:t>Georges DASSIS</w:t>
      </w:r>
      <w:r w:rsidRPr="00C10CE3">
        <w:br/>
        <w:t>Président du Comité économique et social européen</w:t>
      </w:r>
    </w:p>
    <w:p w:rsidR="00B95F73" w:rsidRPr="00C10CE3" w:rsidRDefault="00B95F73" w:rsidP="0085715F">
      <w:pPr>
        <w:ind w:left="567" w:hanging="567"/>
      </w:pPr>
    </w:p>
    <w:p w:rsidR="00646AC2" w:rsidRPr="00C10CE3" w:rsidRDefault="00646AC2" w:rsidP="00F75545">
      <w:pPr>
        <w:jc w:val="center"/>
      </w:pPr>
      <w:r w:rsidRPr="00C10CE3">
        <w:t>_____________</w:t>
      </w:r>
    </w:p>
    <w:sectPr w:rsidR="00646AC2" w:rsidRPr="00C10CE3" w:rsidSect="00076022">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E7" w:rsidRDefault="00112AE7">
      <w:r>
        <w:separator/>
      </w:r>
    </w:p>
  </w:endnote>
  <w:endnote w:type="continuationSeparator" w:id="0">
    <w:p w:rsidR="00112AE7" w:rsidRDefault="0011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E" w:rsidRPr="00076022" w:rsidRDefault="007B627E" w:rsidP="00076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076022" w:rsidRDefault="00076022" w:rsidP="00076022">
    <w:pPr>
      <w:pStyle w:val="Footer"/>
    </w:pPr>
    <w:r>
      <w:t xml:space="preserve">NAT/685 – EESC-2016-01333-00-01-AC-TRA (FR) </w:t>
    </w:r>
    <w:r>
      <w:fldChar w:fldCharType="begin"/>
    </w:r>
    <w:r>
      <w:instrText xml:space="preserve"> PAGE  \* Arabic  \* MERGEFORMAT </w:instrText>
    </w:r>
    <w:r>
      <w:fldChar w:fldCharType="separate"/>
    </w:r>
    <w:r w:rsidR="00C10CE3">
      <w:rPr>
        <w:noProof/>
      </w:rPr>
      <w:t>1</w:t>
    </w:r>
    <w:r>
      <w:fldChar w:fldCharType="end"/>
    </w:r>
    <w:r>
      <w:t>/</w:t>
    </w:r>
    <w:r>
      <w:fldChar w:fldCharType="begin"/>
    </w:r>
    <w:r>
      <w:instrText xml:space="preserve"> = </w:instrText>
    </w:r>
    <w:fldSimple w:instr=" NUMPAGES ">
      <w:r w:rsidR="00C10CE3">
        <w:rPr>
          <w:noProof/>
        </w:rPr>
        <w:instrText>3</w:instrText>
      </w:r>
    </w:fldSimple>
    <w:r>
      <w:instrText xml:space="preserve"> </w:instrText>
    </w:r>
    <w:r>
      <w:fldChar w:fldCharType="separate"/>
    </w:r>
    <w:r w:rsidR="00C10CE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E" w:rsidRPr="00076022" w:rsidRDefault="007B627E" w:rsidP="000760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26" w:rsidRPr="00076022" w:rsidRDefault="002C6C26" w:rsidP="000760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26" w:rsidRPr="00076022" w:rsidRDefault="00076022" w:rsidP="00076022">
    <w:pPr>
      <w:pStyle w:val="Footer"/>
    </w:pPr>
    <w:r>
      <w:t xml:space="preserve">NAT/685 – EESC-2016-01333-00-01-AC-TRA (FR) </w:t>
    </w:r>
    <w:r>
      <w:fldChar w:fldCharType="begin"/>
    </w:r>
    <w:r>
      <w:instrText xml:space="preserve"> PAGE  \* Arabic  \* MERGEFORMAT </w:instrText>
    </w:r>
    <w:r>
      <w:fldChar w:fldCharType="separate"/>
    </w:r>
    <w:r w:rsidR="00C10CE3">
      <w:rPr>
        <w:noProof/>
      </w:rPr>
      <w:t>3</w:t>
    </w:r>
    <w:r>
      <w:fldChar w:fldCharType="end"/>
    </w:r>
    <w:r>
      <w:t>/</w:t>
    </w:r>
    <w:r>
      <w:fldChar w:fldCharType="begin"/>
    </w:r>
    <w:r>
      <w:instrText xml:space="preserve"> = </w:instrText>
    </w:r>
    <w:fldSimple w:instr=" NUMPAGES ">
      <w:r w:rsidR="00C10CE3">
        <w:rPr>
          <w:noProof/>
        </w:rPr>
        <w:instrText>3</w:instrText>
      </w:r>
    </w:fldSimple>
    <w:r>
      <w:instrText xml:space="preserve"> </w:instrText>
    </w:r>
    <w:r>
      <w:fldChar w:fldCharType="separate"/>
    </w:r>
    <w:r w:rsidR="00C10CE3">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26" w:rsidRPr="00076022" w:rsidRDefault="002C6C26" w:rsidP="00076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E7" w:rsidRDefault="00112AE7">
      <w:r>
        <w:separator/>
      </w:r>
    </w:p>
  </w:footnote>
  <w:footnote w:type="continuationSeparator" w:id="0">
    <w:p w:rsidR="00112AE7" w:rsidRDefault="00112AE7">
      <w:r>
        <w:continuationSeparator/>
      </w:r>
    </w:p>
  </w:footnote>
  <w:footnote w:id="1">
    <w:p w:rsidR="00B23FDC" w:rsidRPr="00534436" w:rsidRDefault="00B23FDC" w:rsidP="00B23FDC">
      <w:pPr>
        <w:pStyle w:val="FootnoteText"/>
      </w:pPr>
      <w:r w:rsidRPr="00534436">
        <w:rPr>
          <w:rStyle w:val="FootnoteReference"/>
        </w:rPr>
        <w:footnoteRef/>
      </w:r>
      <w:r w:rsidRPr="00534436">
        <w:t xml:space="preserve"> </w:t>
      </w:r>
      <w:r w:rsidRPr="00534436">
        <w:tab/>
        <w:t>Thaler Richard &amp; Sunstein Cass, «</w:t>
      </w:r>
      <w:r w:rsidRPr="00534436">
        <w:rPr>
          <w:i/>
        </w:rPr>
        <w:t>Nudge: Improving Decisions about Health, Wealth, and Happiness</w:t>
      </w:r>
      <w:r w:rsidRPr="00534436">
        <w:t>», Yale University Press, 2008.</w:t>
      </w:r>
    </w:p>
  </w:footnote>
  <w:footnote w:id="2">
    <w:p w:rsidR="00B23FDC" w:rsidRPr="00534436" w:rsidRDefault="00B23FDC" w:rsidP="00B23FDC">
      <w:pPr>
        <w:pStyle w:val="FootnoteText"/>
      </w:pPr>
      <w:r w:rsidRPr="00534436">
        <w:rPr>
          <w:rStyle w:val="FootnoteReference"/>
        </w:rPr>
        <w:footnoteRef/>
      </w:r>
      <w:r w:rsidRPr="00534436">
        <w:t xml:space="preserve"> </w:t>
      </w:r>
      <w:r w:rsidRPr="00534436">
        <w:tab/>
      </w:r>
      <w:r w:rsidRPr="00534436">
        <w:rPr>
          <w:szCs w:val="16"/>
        </w:rPr>
        <w:t>Opower.com.</w:t>
      </w:r>
    </w:p>
  </w:footnote>
  <w:footnote w:id="3">
    <w:p w:rsidR="00B23FDC" w:rsidRPr="00534436" w:rsidRDefault="00B23FDC" w:rsidP="00B23FDC">
      <w:pPr>
        <w:pStyle w:val="FootnoteText"/>
      </w:pPr>
      <w:r w:rsidRPr="00534436">
        <w:rPr>
          <w:rStyle w:val="FootnoteReference"/>
        </w:rPr>
        <w:footnoteRef/>
      </w:r>
      <w:r w:rsidRPr="00534436">
        <w:t xml:space="preserve"> </w:t>
      </w:r>
      <w:r w:rsidRPr="00534436">
        <w:tab/>
      </w:r>
      <w:hyperlink r:id="rId1" w:history="1">
        <w:r w:rsidRPr="00534436">
          <w:rPr>
            <w:rStyle w:val="Hyperlink"/>
            <w:szCs w:val="16"/>
          </w:rPr>
          <w:t>http://www.prioriterre.org/ong/particuliers/a2210/une-nouvelle-edition-familles-a-energie-positive.html</w:t>
        </w:r>
      </w:hyperlink>
      <w:r w:rsidRPr="00534436">
        <w:rPr>
          <w:szCs w:val="16"/>
        </w:rPr>
        <w:t>.</w:t>
      </w:r>
    </w:p>
  </w:footnote>
  <w:footnote w:id="4">
    <w:p w:rsidR="00B23FDC" w:rsidRPr="00534436" w:rsidRDefault="00B23FDC" w:rsidP="00B23FDC">
      <w:pPr>
        <w:pStyle w:val="FootnoteText"/>
      </w:pPr>
      <w:r w:rsidRPr="00534436">
        <w:rPr>
          <w:rStyle w:val="FootnoteReference"/>
        </w:rPr>
        <w:footnoteRef/>
      </w:r>
      <w:r w:rsidRPr="00534436">
        <w:t xml:space="preserve"> </w:t>
      </w:r>
      <w:r w:rsidRPr="00534436">
        <w:tab/>
      </w:r>
      <w:hyperlink r:id="rId2" w:history="1">
        <w:r w:rsidRPr="00534436">
          <w:rPr>
            <w:rStyle w:val="Hyperlink"/>
            <w:szCs w:val="16"/>
          </w:rPr>
          <w:t>https://www.youtube.com/watch?v=2lXh2n0aPyw</w:t>
        </w:r>
      </w:hyperlink>
      <w:r w:rsidRPr="00534436">
        <w:rPr>
          <w:szCs w:val="16"/>
        </w:rPr>
        <w:t>.</w:t>
      </w:r>
    </w:p>
  </w:footnote>
  <w:footnote w:id="5">
    <w:p w:rsidR="00B23FDC" w:rsidRPr="00534436" w:rsidRDefault="00B23FDC" w:rsidP="00B23FDC">
      <w:pPr>
        <w:pStyle w:val="FootnoteText"/>
      </w:pPr>
      <w:r w:rsidRPr="00534436">
        <w:rPr>
          <w:rStyle w:val="FootnoteReference"/>
        </w:rPr>
        <w:footnoteRef/>
      </w:r>
      <w:r w:rsidRPr="00534436">
        <w:t xml:space="preserve"> </w:t>
      </w:r>
      <w:r w:rsidRPr="00534436">
        <w:tab/>
      </w:r>
      <w:r w:rsidRPr="0094342B">
        <w:t>Liebig Georg, «</w:t>
      </w:r>
      <w:r w:rsidRPr="0010715C">
        <w:t>Nudging to Reduce Food Waste</w:t>
      </w:r>
      <w:r w:rsidRPr="0094342B">
        <w:t xml:space="preserve">», URL: </w:t>
      </w:r>
      <w:hyperlink r:id="rId3" w:history="1">
        <w:r w:rsidRPr="006673C4">
          <w:rPr>
            <w:rStyle w:val="Hyperlink"/>
            <w:rFonts w:eastAsiaTheme="majorEastAsia"/>
          </w:rPr>
          <w:t>http://www.wiwi-experimente.tu-berlin.de/fileadmin/fg210/nudging_to_reduce_food_waste_Georg_Liebig.pdf</w:t>
        </w:r>
      </w:hyperlink>
      <w:r w:rsidRPr="0010715C">
        <w:t>.</w:t>
      </w:r>
    </w:p>
  </w:footnote>
  <w:footnote w:id="6">
    <w:p w:rsidR="00B23FDC" w:rsidRPr="00534436" w:rsidRDefault="00B23FDC" w:rsidP="00B23FDC">
      <w:pPr>
        <w:pStyle w:val="FootnoteText"/>
      </w:pPr>
      <w:r w:rsidRPr="00534436">
        <w:rPr>
          <w:rStyle w:val="FootnoteReference"/>
        </w:rPr>
        <w:footnoteRef/>
      </w:r>
      <w:r w:rsidRPr="00534436">
        <w:t xml:space="preserve"> </w:t>
      </w:r>
      <w:r w:rsidRPr="00534436">
        <w:tab/>
        <w:t>Site internet de l</w:t>
      </w:r>
      <w:r w:rsidR="005B2BBC" w:rsidRPr="00534436">
        <w:t>’</w:t>
      </w:r>
      <w:r w:rsidRPr="00534436">
        <w:t xml:space="preserve">unité: </w:t>
      </w:r>
      <w:hyperlink r:id="rId4" w:history="1">
        <w:r w:rsidRPr="00534436">
          <w:rPr>
            <w:rStyle w:val="Hyperlink"/>
          </w:rPr>
          <w:t>http://www.behaviouralinsights.co.uk/</w:t>
        </w:r>
      </w:hyperlink>
      <w:r w:rsidRPr="00534436">
        <w:t>.</w:t>
      </w:r>
    </w:p>
  </w:footnote>
  <w:footnote w:id="7">
    <w:p w:rsidR="00B23FDC" w:rsidRPr="00534436" w:rsidRDefault="00B23FDC" w:rsidP="00B23FDC">
      <w:pPr>
        <w:pStyle w:val="FootnoteText"/>
        <w:rPr>
          <w:b/>
        </w:rPr>
      </w:pPr>
      <w:r w:rsidRPr="00534436">
        <w:rPr>
          <w:rStyle w:val="FootnoteReference"/>
        </w:rPr>
        <w:footnoteRef/>
      </w:r>
      <w:r w:rsidRPr="00534436">
        <w:t xml:space="preserve"> </w:t>
      </w:r>
      <w:r w:rsidRPr="00534436">
        <w:tab/>
      </w:r>
      <w:r w:rsidRPr="00534436">
        <w:rPr>
          <w:szCs w:val="16"/>
        </w:rPr>
        <w:t>«</w:t>
      </w:r>
      <w:r w:rsidRPr="00534436">
        <w:rPr>
          <w:i/>
          <w:szCs w:val="16"/>
        </w:rPr>
        <w:t>Executive Order – Using Behavorial Science Insights to Better Serve the American People</w:t>
      </w:r>
      <w:r w:rsidRPr="00534436">
        <w:rPr>
          <w:szCs w:val="16"/>
        </w:rPr>
        <w:t xml:space="preserve">», Executive Order, 15 septembre 2015. URL: </w:t>
      </w:r>
      <w:hyperlink r:id="rId5" w:history="1">
        <w:r w:rsidRPr="00534436">
          <w:rPr>
            <w:rStyle w:val="Hyperlink"/>
            <w:szCs w:val="16"/>
          </w:rPr>
          <w:t>https://www.whitehouse.gov/the-press-office/2015/09/15/executive-order-using-behavioral-science-insights-better-serve-american</w:t>
        </w:r>
      </w:hyperlink>
      <w:r w:rsidRPr="00534436">
        <w:rPr>
          <w:szCs w:val="16"/>
        </w:rPr>
        <w:t>.</w:t>
      </w:r>
    </w:p>
  </w:footnote>
  <w:footnote w:id="8">
    <w:p w:rsidR="00B23FDC" w:rsidRPr="00534436" w:rsidRDefault="00B23FDC" w:rsidP="00B23FDC">
      <w:pPr>
        <w:pStyle w:val="FootnoteText"/>
      </w:pPr>
      <w:r w:rsidRPr="00534436">
        <w:rPr>
          <w:rStyle w:val="FootnoteReference"/>
        </w:rPr>
        <w:footnoteRef/>
      </w:r>
      <w:r w:rsidRPr="00534436">
        <w:t xml:space="preserve"> </w:t>
      </w:r>
      <w:r w:rsidRPr="00534436">
        <w:tab/>
      </w:r>
      <w:r w:rsidRPr="00534436">
        <w:rPr>
          <w:szCs w:val="16"/>
        </w:rPr>
        <w:t>Voir par exemple «Le nudge: un nouvel outil au service de l</w:t>
      </w:r>
      <w:r w:rsidR="005B2BBC" w:rsidRPr="00534436">
        <w:rPr>
          <w:szCs w:val="16"/>
        </w:rPr>
        <w:t>’</w:t>
      </w:r>
      <w:r w:rsidRPr="00534436">
        <w:rPr>
          <w:szCs w:val="16"/>
        </w:rPr>
        <w:t xml:space="preserve">action publique», 13 mars 2014. URL: </w:t>
      </w:r>
      <w:hyperlink r:id="rId6" w:history="1">
        <w:r w:rsidRPr="00534436">
          <w:rPr>
            <w:rStyle w:val="Hyperlink"/>
            <w:szCs w:val="16"/>
          </w:rPr>
          <w:t>http://www.modernisation.gouv.fr/les-services-publics-se-simplifient-et-innovent/par-des-services-numeriques-aux-usagers/le-nudge-au-service-de-laction-publique</w:t>
        </w:r>
      </w:hyperlink>
      <w:r w:rsidRPr="00534436">
        <w:rPr>
          <w:szCs w:val="16"/>
        </w:rPr>
        <w:t>.</w:t>
      </w:r>
    </w:p>
  </w:footnote>
  <w:footnote w:id="9">
    <w:p w:rsidR="00B23FDC" w:rsidRPr="00534436" w:rsidRDefault="00B23FDC" w:rsidP="00B23FDC">
      <w:pPr>
        <w:pStyle w:val="FootnoteText"/>
      </w:pPr>
      <w:r w:rsidRPr="00534436">
        <w:rPr>
          <w:rStyle w:val="FootnoteReference"/>
        </w:rPr>
        <w:footnoteRef/>
      </w:r>
      <w:r w:rsidRPr="00534436">
        <w:t xml:space="preserve"> </w:t>
      </w:r>
      <w:r w:rsidRPr="00534436">
        <w:tab/>
      </w:r>
      <w:hyperlink r:id="rId7" w:history="1">
        <w:r w:rsidR="00F30576" w:rsidRPr="007C2FCF">
          <w:rPr>
            <w:rStyle w:val="Hyperlink"/>
          </w:rPr>
          <w:t>http://publications.jrc.ec.europa.eu/repository/bitstream/JRC100146/kjna27726enn_new.pdf</w:t>
        </w:r>
      </w:hyperlink>
      <w:r w:rsidR="00F30576">
        <w:t xml:space="preserve"> </w:t>
      </w:r>
    </w:p>
  </w:footnote>
  <w:footnote w:id="10">
    <w:p w:rsidR="00B23FDC" w:rsidRPr="00534436" w:rsidRDefault="00B23FDC" w:rsidP="00B23FDC">
      <w:pPr>
        <w:pStyle w:val="FootnoteText"/>
        <w:rPr>
          <w:b/>
        </w:rPr>
      </w:pPr>
      <w:r w:rsidRPr="00534436">
        <w:rPr>
          <w:rStyle w:val="FootnoteReference"/>
        </w:rPr>
        <w:footnoteRef/>
      </w:r>
      <w:r w:rsidRPr="00534436">
        <w:t xml:space="preserve"> </w:t>
      </w:r>
      <w:r w:rsidRPr="00534436">
        <w:tab/>
      </w:r>
      <w:r w:rsidRPr="00534436">
        <w:rPr>
          <w:rFonts w:eastAsia="Arial Unicode MS"/>
          <w:szCs w:val="16"/>
        </w:rPr>
        <w:t>Costa Dora L. et Kahn Matthey E., «</w:t>
      </w:r>
      <w:r w:rsidRPr="00534436">
        <w:rPr>
          <w:rFonts w:eastAsia="Arial Unicode MS"/>
          <w:i/>
          <w:szCs w:val="16"/>
        </w:rPr>
        <w:t>Energy conservation “nudges” and environmentalist ideology: Evidence from a randomized residential electricity field experiment</w:t>
      </w:r>
      <w:r w:rsidRPr="00534436">
        <w:rPr>
          <w:rFonts w:eastAsia="Arial Unicode MS"/>
          <w:szCs w:val="16"/>
        </w:rPr>
        <w:t xml:space="preserve">», </w:t>
      </w:r>
      <w:r w:rsidRPr="00534436">
        <w:rPr>
          <w:rFonts w:eastAsia="Arial Unicode MS"/>
          <w:i/>
          <w:szCs w:val="16"/>
        </w:rPr>
        <w:t>Journal of European Economic Association</w:t>
      </w:r>
      <w:r w:rsidRPr="00534436">
        <w:rPr>
          <w:rFonts w:eastAsia="Arial Unicode MS"/>
          <w:szCs w:val="16"/>
        </w:rPr>
        <w:t>, 2013.</w:t>
      </w:r>
    </w:p>
  </w:footnote>
  <w:footnote w:id="11">
    <w:p w:rsidR="00B23FDC" w:rsidRPr="00534436" w:rsidRDefault="00B23FDC" w:rsidP="00B23FDC">
      <w:pPr>
        <w:pStyle w:val="FootnoteText"/>
      </w:pPr>
      <w:r w:rsidRPr="00534436">
        <w:rPr>
          <w:rStyle w:val="FootnoteReference"/>
        </w:rPr>
        <w:footnoteRef/>
      </w:r>
      <w:r w:rsidRPr="00534436">
        <w:t xml:space="preserve"> </w:t>
      </w:r>
      <w:r w:rsidRPr="00534436">
        <w:tab/>
      </w:r>
      <w:r w:rsidRPr="00534436">
        <w:rPr>
          <w:rFonts w:eastAsia="Arial Unicode MS"/>
          <w:szCs w:val="16"/>
        </w:rPr>
        <w:t>Ferraro Paul J., Miranda Juan Jose et Price Michael K., «</w:t>
      </w:r>
      <w:r w:rsidRPr="00534436">
        <w:rPr>
          <w:rFonts w:eastAsia="Arial Unicode MS"/>
          <w:i/>
          <w:szCs w:val="16"/>
        </w:rPr>
        <w:t>The persistence of treatment effects with norm-based policy</w:t>
      </w:r>
      <w:r w:rsidRPr="00534436">
        <w:rPr>
          <w:rFonts w:eastAsia="Arial Unicode MS"/>
          <w:szCs w:val="16"/>
        </w:rPr>
        <w:t xml:space="preserve">», </w:t>
      </w:r>
      <w:r w:rsidRPr="00534436">
        <w:rPr>
          <w:rFonts w:eastAsia="Arial Unicode MS"/>
          <w:i/>
          <w:szCs w:val="16"/>
        </w:rPr>
        <w:t>American Economic Review</w:t>
      </w:r>
      <w:r w:rsidR="00F17957" w:rsidRPr="00534436">
        <w:rPr>
          <w:rFonts w:eastAsia="Arial Unicode MS"/>
          <w:szCs w:val="16"/>
        </w:rPr>
        <w:t>, vol. </w:t>
      </w:r>
      <w:r w:rsidRPr="00534436">
        <w:rPr>
          <w:rFonts w:eastAsia="Arial Unicode MS"/>
          <w:szCs w:val="16"/>
        </w:rPr>
        <w:t>101, n° 3, mai 2011.</w:t>
      </w:r>
    </w:p>
  </w:footnote>
  <w:footnote w:id="12">
    <w:p w:rsidR="00B23FDC" w:rsidRPr="00534436" w:rsidRDefault="00B23FDC" w:rsidP="00B23FDC">
      <w:pPr>
        <w:pStyle w:val="FootnoteText"/>
      </w:pPr>
      <w:r w:rsidRPr="00534436">
        <w:rPr>
          <w:rStyle w:val="FootnoteReference"/>
        </w:rPr>
        <w:footnoteRef/>
      </w:r>
      <w:r w:rsidRPr="00534436">
        <w:tab/>
      </w:r>
      <w:r w:rsidRPr="00534436">
        <w:rPr>
          <w:rFonts w:eastAsia="Arial Unicode MS"/>
          <w:szCs w:val="16"/>
        </w:rPr>
        <w:t>Mazar Nina et Zhong Chen-Bo, «</w:t>
      </w:r>
      <w:r w:rsidRPr="00534436">
        <w:rPr>
          <w:rFonts w:eastAsia="Arial Unicode MS"/>
          <w:i/>
          <w:szCs w:val="16"/>
        </w:rPr>
        <w:t>Do green products make us better people?</w:t>
      </w:r>
      <w:r w:rsidRPr="00534436">
        <w:rPr>
          <w:rFonts w:eastAsia="Arial Unicode MS"/>
          <w:szCs w:val="16"/>
        </w:rPr>
        <w:t xml:space="preserve">», </w:t>
      </w:r>
      <w:r w:rsidRPr="00534436">
        <w:rPr>
          <w:rFonts w:eastAsia="Arial Unicode MS"/>
          <w:i/>
          <w:szCs w:val="16"/>
        </w:rPr>
        <w:t>Psychological Science</w:t>
      </w:r>
      <w:r w:rsidRPr="00534436">
        <w:rPr>
          <w:rFonts w:eastAsia="Arial Unicode MS"/>
          <w:szCs w:val="16"/>
        </w:rPr>
        <w:t>, 2010.</w:t>
      </w:r>
    </w:p>
  </w:footnote>
  <w:footnote w:id="13">
    <w:p w:rsidR="00B23FDC" w:rsidRPr="00534436" w:rsidRDefault="00B23FDC" w:rsidP="00B23FDC">
      <w:pPr>
        <w:pStyle w:val="FootnoteText"/>
      </w:pPr>
      <w:r w:rsidRPr="00534436">
        <w:rPr>
          <w:rStyle w:val="FootnoteReference"/>
        </w:rPr>
        <w:footnoteRef/>
      </w:r>
      <w:r w:rsidRPr="00534436">
        <w:tab/>
      </w:r>
      <w:r w:rsidRPr="00534436">
        <w:rPr>
          <w:szCs w:val="16"/>
        </w:rPr>
        <w:t>Simon Stephanie, «</w:t>
      </w:r>
      <w:r w:rsidRPr="00534436">
        <w:rPr>
          <w:i/>
          <w:szCs w:val="16"/>
        </w:rPr>
        <w:t>The Secret to Turning Consumers Green</w:t>
      </w:r>
      <w:r w:rsidRPr="00534436">
        <w:rPr>
          <w:szCs w:val="16"/>
        </w:rPr>
        <w:t xml:space="preserve">», The Wall Street Journal, 18 octobre 2010. URL: </w:t>
      </w:r>
      <w:hyperlink r:id="rId8" w:history="1">
        <w:r w:rsidRPr="00534436">
          <w:rPr>
            <w:rStyle w:val="Hyperlink"/>
            <w:szCs w:val="16"/>
          </w:rPr>
          <w:t>http://www.wsj.com/articles/SB10001424052748704575304575296243891721972</w:t>
        </w:r>
      </w:hyperlink>
      <w:r w:rsidRPr="00534436">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E" w:rsidRPr="00076022" w:rsidRDefault="007B627E" w:rsidP="00076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E" w:rsidRPr="00076022" w:rsidRDefault="007B627E" w:rsidP="00076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7E" w:rsidRPr="00076022" w:rsidRDefault="007B627E" w:rsidP="000760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26" w:rsidRPr="00076022" w:rsidRDefault="002C6C26" w:rsidP="000760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26" w:rsidRPr="00076022" w:rsidRDefault="002C6C26" w:rsidP="000760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26" w:rsidRPr="00076022" w:rsidRDefault="002C6C26" w:rsidP="00076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995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2D7"/>
    <w:rsid w:val="00005AB9"/>
    <w:rsid w:val="00005EB9"/>
    <w:rsid w:val="00006E24"/>
    <w:rsid w:val="00007A40"/>
    <w:rsid w:val="00020E6E"/>
    <w:rsid w:val="00031A4B"/>
    <w:rsid w:val="000331DC"/>
    <w:rsid w:val="00033913"/>
    <w:rsid w:val="00033E5B"/>
    <w:rsid w:val="000357A8"/>
    <w:rsid w:val="000430A6"/>
    <w:rsid w:val="00044923"/>
    <w:rsid w:val="0005249C"/>
    <w:rsid w:val="000534A5"/>
    <w:rsid w:val="0005680D"/>
    <w:rsid w:val="00063FB4"/>
    <w:rsid w:val="0006793E"/>
    <w:rsid w:val="00072E0F"/>
    <w:rsid w:val="000735E5"/>
    <w:rsid w:val="0007392F"/>
    <w:rsid w:val="00076022"/>
    <w:rsid w:val="00087B39"/>
    <w:rsid w:val="00094DAF"/>
    <w:rsid w:val="00096502"/>
    <w:rsid w:val="0009794B"/>
    <w:rsid w:val="000A38BE"/>
    <w:rsid w:val="000A49BB"/>
    <w:rsid w:val="000C3441"/>
    <w:rsid w:val="000C7F53"/>
    <w:rsid w:val="000D2F8E"/>
    <w:rsid w:val="000E784A"/>
    <w:rsid w:val="000F196B"/>
    <w:rsid w:val="000F267C"/>
    <w:rsid w:val="00105361"/>
    <w:rsid w:val="0010715C"/>
    <w:rsid w:val="001101F8"/>
    <w:rsid w:val="0011206F"/>
    <w:rsid w:val="00112AE7"/>
    <w:rsid w:val="0011656A"/>
    <w:rsid w:val="00116BA1"/>
    <w:rsid w:val="00116EB6"/>
    <w:rsid w:val="0012220C"/>
    <w:rsid w:val="00136EA3"/>
    <w:rsid w:val="00137575"/>
    <w:rsid w:val="00143A85"/>
    <w:rsid w:val="00144231"/>
    <w:rsid w:val="00145EB5"/>
    <w:rsid w:val="00150434"/>
    <w:rsid w:val="00155721"/>
    <w:rsid w:val="0016503F"/>
    <w:rsid w:val="0016674F"/>
    <w:rsid w:val="00167CA0"/>
    <w:rsid w:val="0017120D"/>
    <w:rsid w:val="001714F6"/>
    <w:rsid w:val="00176168"/>
    <w:rsid w:val="00177158"/>
    <w:rsid w:val="00184FD4"/>
    <w:rsid w:val="00186B04"/>
    <w:rsid w:val="00186F1E"/>
    <w:rsid w:val="00190836"/>
    <w:rsid w:val="00193930"/>
    <w:rsid w:val="0019466F"/>
    <w:rsid w:val="001963A5"/>
    <w:rsid w:val="00196F1E"/>
    <w:rsid w:val="00197FCA"/>
    <w:rsid w:val="001A27DB"/>
    <w:rsid w:val="001A6852"/>
    <w:rsid w:val="001B286A"/>
    <w:rsid w:val="001B2D02"/>
    <w:rsid w:val="001B3647"/>
    <w:rsid w:val="001B77FA"/>
    <w:rsid w:val="001C0ABE"/>
    <w:rsid w:val="001C5852"/>
    <w:rsid w:val="001D45F0"/>
    <w:rsid w:val="001E2AA0"/>
    <w:rsid w:val="001E4A33"/>
    <w:rsid w:val="001E5C27"/>
    <w:rsid w:val="001F602B"/>
    <w:rsid w:val="001F6AC8"/>
    <w:rsid w:val="002037D5"/>
    <w:rsid w:val="00204D65"/>
    <w:rsid w:val="00206F90"/>
    <w:rsid w:val="00212B03"/>
    <w:rsid w:val="00215C10"/>
    <w:rsid w:val="00215C2D"/>
    <w:rsid w:val="002252C4"/>
    <w:rsid w:val="0023183E"/>
    <w:rsid w:val="00232FEC"/>
    <w:rsid w:val="00235138"/>
    <w:rsid w:val="00243BD2"/>
    <w:rsid w:val="00243E36"/>
    <w:rsid w:val="0024540B"/>
    <w:rsid w:val="00245EF4"/>
    <w:rsid w:val="00250E11"/>
    <w:rsid w:val="00251383"/>
    <w:rsid w:val="002522C9"/>
    <w:rsid w:val="00252A21"/>
    <w:rsid w:val="00253E4F"/>
    <w:rsid w:val="002542E4"/>
    <w:rsid w:val="00261053"/>
    <w:rsid w:val="00262FDE"/>
    <w:rsid w:val="00263629"/>
    <w:rsid w:val="002701FA"/>
    <w:rsid w:val="002769BD"/>
    <w:rsid w:val="002809EA"/>
    <w:rsid w:val="00284962"/>
    <w:rsid w:val="00287B0E"/>
    <w:rsid w:val="002A0B53"/>
    <w:rsid w:val="002A0EEF"/>
    <w:rsid w:val="002B2DF7"/>
    <w:rsid w:val="002B53F0"/>
    <w:rsid w:val="002C3BF4"/>
    <w:rsid w:val="002C6C26"/>
    <w:rsid w:val="002C749F"/>
    <w:rsid w:val="002E48F1"/>
    <w:rsid w:val="002F059B"/>
    <w:rsid w:val="002F5B0B"/>
    <w:rsid w:val="00300924"/>
    <w:rsid w:val="0030596E"/>
    <w:rsid w:val="003073C3"/>
    <w:rsid w:val="00323637"/>
    <w:rsid w:val="00324E8A"/>
    <w:rsid w:val="00331D87"/>
    <w:rsid w:val="00332850"/>
    <w:rsid w:val="00334478"/>
    <w:rsid w:val="003346B4"/>
    <w:rsid w:val="00334AE6"/>
    <w:rsid w:val="003365D0"/>
    <w:rsid w:val="003439AB"/>
    <w:rsid w:val="003529B9"/>
    <w:rsid w:val="00354695"/>
    <w:rsid w:val="0035549B"/>
    <w:rsid w:val="00356FFD"/>
    <w:rsid w:val="003755C8"/>
    <w:rsid w:val="00375687"/>
    <w:rsid w:val="00380AE0"/>
    <w:rsid w:val="00383324"/>
    <w:rsid w:val="00385800"/>
    <w:rsid w:val="00387A75"/>
    <w:rsid w:val="003904FD"/>
    <w:rsid w:val="00392247"/>
    <w:rsid w:val="00394254"/>
    <w:rsid w:val="003A57E2"/>
    <w:rsid w:val="003C2BFB"/>
    <w:rsid w:val="003C436B"/>
    <w:rsid w:val="003C5337"/>
    <w:rsid w:val="003C5F92"/>
    <w:rsid w:val="003D7A8C"/>
    <w:rsid w:val="003D7C00"/>
    <w:rsid w:val="003E0C01"/>
    <w:rsid w:val="003E56E5"/>
    <w:rsid w:val="003E7E60"/>
    <w:rsid w:val="003F00D4"/>
    <w:rsid w:val="003F2209"/>
    <w:rsid w:val="003F3D39"/>
    <w:rsid w:val="003F636C"/>
    <w:rsid w:val="003F646A"/>
    <w:rsid w:val="003F6761"/>
    <w:rsid w:val="003F6A0A"/>
    <w:rsid w:val="004024F5"/>
    <w:rsid w:val="00402DE1"/>
    <w:rsid w:val="00403D8B"/>
    <w:rsid w:val="004058F1"/>
    <w:rsid w:val="00407E7D"/>
    <w:rsid w:val="0041283D"/>
    <w:rsid w:val="00413AB4"/>
    <w:rsid w:val="00421373"/>
    <w:rsid w:val="00421FB7"/>
    <w:rsid w:val="00426ACA"/>
    <w:rsid w:val="00426E50"/>
    <w:rsid w:val="0042763B"/>
    <w:rsid w:val="0043024C"/>
    <w:rsid w:val="00436706"/>
    <w:rsid w:val="00443D38"/>
    <w:rsid w:val="00450E7A"/>
    <w:rsid w:val="00456AF8"/>
    <w:rsid w:val="00470B15"/>
    <w:rsid w:val="00475869"/>
    <w:rsid w:val="00475A77"/>
    <w:rsid w:val="00480B08"/>
    <w:rsid w:val="004866A9"/>
    <w:rsid w:val="00492774"/>
    <w:rsid w:val="00496D7A"/>
    <w:rsid w:val="004A31BC"/>
    <w:rsid w:val="004A3F1A"/>
    <w:rsid w:val="004A3F45"/>
    <w:rsid w:val="004B1AFA"/>
    <w:rsid w:val="004B6C10"/>
    <w:rsid w:val="004B7088"/>
    <w:rsid w:val="004C5B76"/>
    <w:rsid w:val="004D02CD"/>
    <w:rsid w:val="004D0B24"/>
    <w:rsid w:val="004D31D5"/>
    <w:rsid w:val="004D4B90"/>
    <w:rsid w:val="004D6502"/>
    <w:rsid w:val="004D6B95"/>
    <w:rsid w:val="004D7F41"/>
    <w:rsid w:val="004E03A2"/>
    <w:rsid w:val="004E317E"/>
    <w:rsid w:val="004E3954"/>
    <w:rsid w:val="004E5856"/>
    <w:rsid w:val="004F2330"/>
    <w:rsid w:val="004F53C6"/>
    <w:rsid w:val="004F69DB"/>
    <w:rsid w:val="004F6B87"/>
    <w:rsid w:val="004F7955"/>
    <w:rsid w:val="0050159A"/>
    <w:rsid w:val="00501C2D"/>
    <w:rsid w:val="00502637"/>
    <w:rsid w:val="00511140"/>
    <w:rsid w:val="00513CFE"/>
    <w:rsid w:val="00523B6A"/>
    <w:rsid w:val="00525F6C"/>
    <w:rsid w:val="00534436"/>
    <w:rsid w:val="0054592F"/>
    <w:rsid w:val="00546AB4"/>
    <w:rsid w:val="005514E5"/>
    <w:rsid w:val="00563C84"/>
    <w:rsid w:val="005762F6"/>
    <w:rsid w:val="00577B11"/>
    <w:rsid w:val="00584FBE"/>
    <w:rsid w:val="00585483"/>
    <w:rsid w:val="00586229"/>
    <w:rsid w:val="00587378"/>
    <w:rsid w:val="00587C05"/>
    <w:rsid w:val="00590AAB"/>
    <w:rsid w:val="005938C3"/>
    <w:rsid w:val="0059468C"/>
    <w:rsid w:val="00595125"/>
    <w:rsid w:val="00596F21"/>
    <w:rsid w:val="005B1CDD"/>
    <w:rsid w:val="005B1E19"/>
    <w:rsid w:val="005B2BBC"/>
    <w:rsid w:val="005B55FC"/>
    <w:rsid w:val="005C2D5E"/>
    <w:rsid w:val="005C3B81"/>
    <w:rsid w:val="005C650C"/>
    <w:rsid w:val="005D086C"/>
    <w:rsid w:val="005D11D3"/>
    <w:rsid w:val="005D4E1F"/>
    <w:rsid w:val="005D4FB3"/>
    <w:rsid w:val="005E2F07"/>
    <w:rsid w:val="005E2FEA"/>
    <w:rsid w:val="005E4DC0"/>
    <w:rsid w:val="005F314B"/>
    <w:rsid w:val="00611AF2"/>
    <w:rsid w:val="0061212B"/>
    <w:rsid w:val="006127AF"/>
    <w:rsid w:val="00615FB2"/>
    <w:rsid w:val="00617BD1"/>
    <w:rsid w:val="00617CE8"/>
    <w:rsid w:val="006278A0"/>
    <w:rsid w:val="0063095F"/>
    <w:rsid w:val="00633569"/>
    <w:rsid w:val="006443CE"/>
    <w:rsid w:val="00646AC2"/>
    <w:rsid w:val="00650390"/>
    <w:rsid w:val="00650993"/>
    <w:rsid w:val="00654DAB"/>
    <w:rsid w:val="0066204A"/>
    <w:rsid w:val="006673C4"/>
    <w:rsid w:val="00670E3C"/>
    <w:rsid w:val="00672827"/>
    <w:rsid w:val="006728B7"/>
    <w:rsid w:val="00677F57"/>
    <w:rsid w:val="00681088"/>
    <w:rsid w:val="0069577E"/>
    <w:rsid w:val="0069634B"/>
    <w:rsid w:val="00696623"/>
    <w:rsid w:val="006A04E9"/>
    <w:rsid w:val="006A4A03"/>
    <w:rsid w:val="006A7543"/>
    <w:rsid w:val="006B5D0D"/>
    <w:rsid w:val="006B725C"/>
    <w:rsid w:val="006C273D"/>
    <w:rsid w:val="006C5C4F"/>
    <w:rsid w:val="006C6282"/>
    <w:rsid w:val="006C762A"/>
    <w:rsid w:val="006D41EC"/>
    <w:rsid w:val="006D5FF9"/>
    <w:rsid w:val="006E0772"/>
    <w:rsid w:val="006E0F86"/>
    <w:rsid w:val="006F0B15"/>
    <w:rsid w:val="006F0DCC"/>
    <w:rsid w:val="00703DF9"/>
    <w:rsid w:val="007048EB"/>
    <w:rsid w:val="00704FBB"/>
    <w:rsid w:val="0070726A"/>
    <w:rsid w:val="0071226B"/>
    <w:rsid w:val="00717040"/>
    <w:rsid w:val="00731926"/>
    <w:rsid w:val="00732955"/>
    <w:rsid w:val="007538CD"/>
    <w:rsid w:val="007750A2"/>
    <w:rsid w:val="007817D6"/>
    <w:rsid w:val="00787912"/>
    <w:rsid w:val="0079177A"/>
    <w:rsid w:val="00794836"/>
    <w:rsid w:val="007948D5"/>
    <w:rsid w:val="007A15C9"/>
    <w:rsid w:val="007A6676"/>
    <w:rsid w:val="007B627E"/>
    <w:rsid w:val="007B7FF5"/>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0500F"/>
    <w:rsid w:val="00812138"/>
    <w:rsid w:val="008151F2"/>
    <w:rsid w:val="0081777A"/>
    <w:rsid w:val="008210E0"/>
    <w:rsid w:val="008218B4"/>
    <w:rsid w:val="00824079"/>
    <w:rsid w:val="00831F0A"/>
    <w:rsid w:val="00833A78"/>
    <w:rsid w:val="0084585F"/>
    <w:rsid w:val="0085114A"/>
    <w:rsid w:val="00853E53"/>
    <w:rsid w:val="0085715F"/>
    <w:rsid w:val="00864D76"/>
    <w:rsid w:val="008656C9"/>
    <w:rsid w:val="0086711C"/>
    <w:rsid w:val="00867535"/>
    <w:rsid w:val="00875C5B"/>
    <w:rsid w:val="0088312F"/>
    <w:rsid w:val="00883C5F"/>
    <w:rsid w:val="008912B2"/>
    <w:rsid w:val="00891C7D"/>
    <w:rsid w:val="00892FA7"/>
    <w:rsid w:val="008A3301"/>
    <w:rsid w:val="008A4DF1"/>
    <w:rsid w:val="008A5636"/>
    <w:rsid w:val="008B125E"/>
    <w:rsid w:val="008B241C"/>
    <w:rsid w:val="008B408B"/>
    <w:rsid w:val="008B4F11"/>
    <w:rsid w:val="008C2362"/>
    <w:rsid w:val="008C3049"/>
    <w:rsid w:val="008C593E"/>
    <w:rsid w:val="008D4AE9"/>
    <w:rsid w:val="008D5CF3"/>
    <w:rsid w:val="008D7D39"/>
    <w:rsid w:val="008E4574"/>
    <w:rsid w:val="008F30CB"/>
    <w:rsid w:val="008F4016"/>
    <w:rsid w:val="008F42FE"/>
    <w:rsid w:val="008F4A00"/>
    <w:rsid w:val="008F5402"/>
    <w:rsid w:val="0090053A"/>
    <w:rsid w:val="00901C2A"/>
    <w:rsid w:val="0090460E"/>
    <w:rsid w:val="009118C7"/>
    <w:rsid w:val="009225B6"/>
    <w:rsid w:val="00925397"/>
    <w:rsid w:val="00934C10"/>
    <w:rsid w:val="0093662A"/>
    <w:rsid w:val="0094060C"/>
    <w:rsid w:val="0094342B"/>
    <w:rsid w:val="009460A3"/>
    <w:rsid w:val="00955D47"/>
    <w:rsid w:val="009606A5"/>
    <w:rsid w:val="00962F1F"/>
    <w:rsid w:val="00965304"/>
    <w:rsid w:val="00965D09"/>
    <w:rsid w:val="00971293"/>
    <w:rsid w:val="009720CB"/>
    <w:rsid w:val="00973A3B"/>
    <w:rsid w:val="00983EAE"/>
    <w:rsid w:val="00984E41"/>
    <w:rsid w:val="0098760B"/>
    <w:rsid w:val="009A11DD"/>
    <w:rsid w:val="009B30AA"/>
    <w:rsid w:val="009B5217"/>
    <w:rsid w:val="009C48DE"/>
    <w:rsid w:val="009D0D09"/>
    <w:rsid w:val="009E1E1E"/>
    <w:rsid w:val="009E3125"/>
    <w:rsid w:val="009E33E3"/>
    <w:rsid w:val="009E7F16"/>
    <w:rsid w:val="009F5052"/>
    <w:rsid w:val="00A04C85"/>
    <w:rsid w:val="00A100F0"/>
    <w:rsid w:val="00A156E6"/>
    <w:rsid w:val="00A23AD8"/>
    <w:rsid w:val="00A27D86"/>
    <w:rsid w:val="00A33151"/>
    <w:rsid w:val="00A36970"/>
    <w:rsid w:val="00A41EB4"/>
    <w:rsid w:val="00A44BFF"/>
    <w:rsid w:val="00A461E4"/>
    <w:rsid w:val="00A501E3"/>
    <w:rsid w:val="00A50F0C"/>
    <w:rsid w:val="00A56441"/>
    <w:rsid w:val="00A64531"/>
    <w:rsid w:val="00A736DD"/>
    <w:rsid w:val="00A75C9C"/>
    <w:rsid w:val="00A82869"/>
    <w:rsid w:val="00A8758C"/>
    <w:rsid w:val="00AA127E"/>
    <w:rsid w:val="00AA19AE"/>
    <w:rsid w:val="00AA423D"/>
    <w:rsid w:val="00AA4FEF"/>
    <w:rsid w:val="00AA6A95"/>
    <w:rsid w:val="00AB10DE"/>
    <w:rsid w:val="00AB3668"/>
    <w:rsid w:val="00AB5ED7"/>
    <w:rsid w:val="00AC0B4C"/>
    <w:rsid w:val="00AD0AEE"/>
    <w:rsid w:val="00AD49E3"/>
    <w:rsid w:val="00AD4B4F"/>
    <w:rsid w:val="00AF0616"/>
    <w:rsid w:val="00AF0E28"/>
    <w:rsid w:val="00AF6F9B"/>
    <w:rsid w:val="00B01409"/>
    <w:rsid w:val="00B10DBD"/>
    <w:rsid w:val="00B15629"/>
    <w:rsid w:val="00B2372C"/>
    <w:rsid w:val="00B23FDC"/>
    <w:rsid w:val="00B32F70"/>
    <w:rsid w:val="00B373D0"/>
    <w:rsid w:val="00B43AAA"/>
    <w:rsid w:val="00B443D7"/>
    <w:rsid w:val="00B46EE5"/>
    <w:rsid w:val="00B53139"/>
    <w:rsid w:val="00B562CE"/>
    <w:rsid w:val="00B564CC"/>
    <w:rsid w:val="00B61E9C"/>
    <w:rsid w:val="00B62DE2"/>
    <w:rsid w:val="00B74417"/>
    <w:rsid w:val="00B77246"/>
    <w:rsid w:val="00B866CD"/>
    <w:rsid w:val="00B869BC"/>
    <w:rsid w:val="00B93034"/>
    <w:rsid w:val="00B95F73"/>
    <w:rsid w:val="00B97373"/>
    <w:rsid w:val="00B97C5D"/>
    <w:rsid w:val="00BA1290"/>
    <w:rsid w:val="00BA3D60"/>
    <w:rsid w:val="00BB2792"/>
    <w:rsid w:val="00BB76BF"/>
    <w:rsid w:val="00BB7778"/>
    <w:rsid w:val="00BC1AD1"/>
    <w:rsid w:val="00BC4A58"/>
    <w:rsid w:val="00BC613B"/>
    <w:rsid w:val="00BD51D9"/>
    <w:rsid w:val="00BD64E2"/>
    <w:rsid w:val="00BE332A"/>
    <w:rsid w:val="00BE477B"/>
    <w:rsid w:val="00BE4995"/>
    <w:rsid w:val="00BE4E9E"/>
    <w:rsid w:val="00BF429A"/>
    <w:rsid w:val="00BF62BE"/>
    <w:rsid w:val="00C07126"/>
    <w:rsid w:val="00C10CE3"/>
    <w:rsid w:val="00C16853"/>
    <w:rsid w:val="00C263F0"/>
    <w:rsid w:val="00C33D41"/>
    <w:rsid w:val="00C40AFD"/>
    <w:rsid w:val="00C41E20"/>
    <w:rsid w:val="00C42E3E"/>
    <w:rsid w:val="00C45578"/>
    <w:rsid w:val="00C50789"/>
    <w:rsid w:val="00C51C13"/>
    <w:rsid w:val="00C525A5"/>
    <w:rsid w:val="00C5300F"/>
    <w:rsid w:val="00C567E1"/>
    <w:rsid w:val="00C66CE0"/>
    <w:rsid w:val="00C71BED"/>
    <w:rsid w:val="00C81B53"/>
    <w:rsid w:val="00C81C73"/>
    <w:rsid w:val="00C82AD2"/>
    <w:rsid w:val="00C90FB6"/>
    <w:rsid w:val="00C9220E"/>
    <w:rsid w:val="00C932BD"/>
    <w:rsid w:val="00C93429"/>
    <w:rsid w:val="00C94856"/>
    <w:rsid w:val="00C957B6"/>
    <w:rsid w:val="00CA16C5"/>
    <w:rsid w:val="00CA415A"/>
    <w:rsid w:val="00CA7A35"/>
    <w:rsid w:val="00CB1536"/>
    <w:rsid w:val="00CB5077"/>
    <w:rsid w:val="00CB7FB8"/>
    <w:rsid w:val="00CC1F71"/>
    <w:rsid w:val="00CC5EB3"/>
    <w:rsid w:val="00CD0E7B"/>
    <w:rsid w:val="00CD2ABD"/>
    <w:rsid w:val="00CD4024"/>
    <w:rsid w:val="00CD4617"/>
    <w:rsid w:val="00CD4855"/>
    <w:rsid w:val="00CE1F23"/>
    <w:rsid w:val="00CE62CE"/>
    <w:rsid w:val="00CE6735"/>
    <w:rsid w:val="00CE6D43"/>
    <w:rsid w:val="00CE7888"/>
    <w:rsid w:val="00CF6E99"/>
    <w:rsid w:val="00D10E1C"/>
    <w:rsid w:val="00D161A3"/>
    <w:rsid w:val="00D20126"/>
    <w:rsid w:val="00D22E49"/>
    <w:rsid w:val="00D23716"/>
    <w:rsid w:val="00D25ED8"/>
    <w:rsid w:val="00D27F8F"/>
    <w:rsid w:val="00D306C5"/>
    <w:rsid w:val="00D316B8"/>
    <w:rsid w:val="00D31CFC"/>
    <w:rsid w:val="00D3255D"/>
    <w:rsid w:val="00D340C3"/>
    <w:rsid w:val="00D34C88"/>
    <w:rsid w:val="00D409CD"/>
    <w:rsid w:val="00D423D4"/>
    <w:rsid w:val="00D42CAF"/>
    <w:rsid w:val="00D47F45"/>
    <w:rsid w:val="00D601EF"/>
    <w:rsid w:val="00D61533"/>
    <w:rsid w:val="00D63B2F"/>
    <w:rsid w:val="00D70747"/>
    <w:rsid w:val="00D7261D"/>
    <w:rsid w:val="00D72E7C"/>
    <w:rsid w:val="00D755FC"/>
    <w:rsid w:val="00D76B6D"/>
    <w:rsid w:val="00D84D07"/>
    <w:rsid w:val="00D8526A"/>
    <w:rsid w:val="00D90E91"/>
    <w:rsid w:val="00D915E8"/>
    <w:rsid w:val="00DB7EE8"/>
    <w:rsid w:val="00DC0591"/>
    <w:rsid w:val="00DC1347"/>
    <w:rsid w:val="00DC39F1"/>
    <w:rsid w:val="00DC3CC0"/>
    <w:rsid w:val="00DE4B35"/>
    <w:rsid w:val="00DE6723"/>
    <w:rsid w:val="00DF19C1"/>
    <w:rsid w:val="00DF4550"/>
    <w:rsid w:val="00DF54CA"/>
    <w:rsid w:val="00DF5B64"/>
    <w:rsid w:val="00E02794"/>
    <w:rsid w:val="00E043E3"/>
    <w:rsid w:val="00E0505B"/>
    <w:rsid w:val="00E11280"/>
    <w:rsid w:val="00E12359"/>
    <w:rsid w:val="00E14C9A"/>
    <w:rsid w:val="00E152FF"/>
    <w:rsid w:val="00E2461B"/>
    <w:rsid w:val="00E24886"/>
    <w:rsid w:val="00E276FB"/>
    <w:rsid w:val="00E32595"/>
    <w:rsid w:val="00E33A74"/>
    <w:rsid w:val="00E350BB"/>
    <w:rsid w:val="00E4030B"/>
    <w:rsid w:val="00E40D52"/>
    <w:rsid w:val="00E41D56"/>
    <w:rsid w:val="00E457DF"/>
    <w:rsid w:val="00E46642"/>
    <w:rsid w:val="00E5139A"/>
    <w:rsid w:val="00E5413D"/>
    <w:rsid w:val="00E57977"/>
    <w:rsid w:val="00E635D7"/>
    <w:rsid w:val="00E70576"/>
    <w:rsid w:val="00E83954"/>
    <w:rsid w:val="00E91730"/>
    <w:rsid w:val="00E91F86"/>
    <w:rsid w:val="00E96F04"/>
    <w:rsid w:val="00E97AEC"/>
    <w:rsid w:val="00EA20FE"/>
    <w:rsid w:val="00EB491E"/>
    <w:rsid w:val="00EB681B"/>
    <w:rsid w:val="00EC4FAD"/>
    <w:rsid w:val="00EE3CFA"/>
    <w:rsid w:val="00EE69E4"/>
    <w:rsid w:val="00EF2A7F"/>
    <w:rsid w:val="00EF7E90"/>
    <w:rsid w:val="00F002B6"/>
    <w:rsid w:val="00F10AFE"/>
    <w:rsid w:val="00F15C6C"/>
    <w:rsid w:val="00F17173"/>
    <w:rsid w:val="00F17957"/>
    <w:rsid w:val="00F224DC"/>
    <w:rsid w:val="00F2687F"/>
    <w:rsid w:val="00F27F29"/>
    <w:rsid w:val="00F30576"/>
    <w:rsid w:val="00F32D54"/>
    <w:rsid w:val="00F3413D"/>
    <w:rsid w:val="00F36C54"/>
    <w:rsid w:val="00F418EA"/>
    <w:rsid w:val="00F41A29"/>
    <w:rsid w:val="00F4498B"/>
    <w:rsid w:val="00F44C1C"/>
    <w:rsid w:val="00F518DF"/>
    <w:rsid w:val="00F544DB"/>
    <w:rsid w:val="00F6502E"/>
    <w:rsid w:val="00F65663"/>
    <w:rsid w:val="00F75545"/>
    <w:rsid w:val="00F756C0"/>
    <w:rsid w:val="00F75A40"/>
    <w:rsid w:val="00F77637"/>
    <w:rsid w:val="00F8435D"/>
    <w:rsid w:val="00F87DD0"/>
    <w:rsid w:val="00F93360"/>
    <w:rsid w:val="00F93FE4"/>
    <w:rsid w:val="00F97E4E"/>
    <w:rsid w:val="00FA217B"/>
    <w:rsid w:val="00FB0BC5"/>
    <w:rsid w:val="00FB0BCC"/>
    <w:rsid w:val="00FC0FE5"/>
    <w:rsid w:val="00FD1ABC"/>
    <w:rsid w:val="00FD7DDF"/>
    <w:rsid w:val="00FE4C92"/>
    <w:rsid w:val="00FF0FAA"/>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436"/>
    <w:pPr>
      <w:spacing w:line="288" w:lineRule="auto"/>
      <w:jc w:val="both"/>
    </w:pPr>
    <w:rPr>
      <w:lang w:eastAsia="en-US" w:bidi="ar-SA"/>
    </w:rPr>
  </w:style>
  <w:style w:type="paragraph" w:styleId="Heading1">
    <w:name w:val="heading 1"/>
    <w:basedOn w:val="Normal"/>
    <w:next w:val="Normal"/>
    <w:link w:val="Heading1Char"/>
    <w:qFormat/>
    <w:rsid w:val="00534436"/>
    <w:pPr>
      <w:numPr>
        <w:numId w:val="1"/>
      </w:numPr>
      <w:ind w:left="567" w:hanging="567"/>
      <w:outlineLvl w:val="0"/>
    </w:pPr>
    <w:rPr>
      <w:kern w:val="28"/>
    </w:rPr>
  </w:style>
  <w:style w:type="paragraph" w:styleId="Heading2">
    <w:name w:val="heading 2"/>
    <w:basedOn w:val="Normal"/>
    <w:next w:val="Normal"/>
    <w:link w:val="Heading2Char"/>
    <w:qFormat/>
    <w:rsid w:val="00534436"/>
    <w:pPr>
      <w:numPr>
        <w:ilvl w:val="1"/>
        <w:numId w:val="1"/>
      </w:numPr>
      <w:ind w:left="567" w:hanging="567"/>
      <w:outlineLvl w:val="1"/>
    </w:pPr>
  </w:style>
  <w:style w:type="paragraph" w:styleId="Heading3">
    <w:name w:val="heading 3"/>
    <w:basedOn w:val="Normal"/>
    <w:next w:val="Normal"/>
    <w:link w:val="Heading3Char"/>
    <w:qFormat/>
    <w:rsid w:val="00534436"/>
    <w:pPr>
      <w:numPr>
        <w:ilvl w:val="2"/>
        <w:numId w:val="1"/>
      </w:numPr>
      <w:ind w:left="567" w:hanging="567"/>
      <w:outlineLvl w:val="2"/>
    </w:pPr>
  </w:style>
  <w:style w:type="paragraph" w:styleId="Heading4">
    <w:name w:val="heading 4"/>
    <w:basedOn w:val="Normal"/>
    <w:next w:val="Normal"/>
    <w:link w:val="Heading4Char"/>
    <w:qFormat/>
    <w:rsid w:val="00534436"/>
    <w:pPr>
      <w:numPr>
        <w:ilvl w:val="3"/>
        <w:numId w:val="1"/>
      </w:numPr>
      <w:ind w:left="567" w:hanging="567"/>
      <w:outlineLvl w:val="3"/>
    </w:pPr>
  </w:style>
  <w:style w:type="paragraph" w:styleId="Heading5">
    <w:name w:val="heading 5"/>
    <w:basedOn w:val="Normal"/>
    <w:next w:val="Normal"/>
    <w:link w:val="Heading5Char"/>
    <w:qFormat/>
    <w:rsid w:val="00534436"/>
    <w:pPr>
      <w:numPr>
        <w:ilvl w:val="4"/>
        <w:numId w:val="1"/>
      </w:numPr>
      <w:ind w:left="567" w:hanging="567"/>
      <w:outlineLvl w:val="4"/>
    </w:pPr>
  </w:style>
  <w:style w:type="paragraph" w:styleId="Heading6">
    <w:name w:val="heading 6"/>
    <w:basedOn w:val="Normal"/>
    <w:next w:val="Normal"/>
    <w:link w:val="Heading6Char"/>
    <w:qFormat/>
    <w:rsid w:val="00534436"/>
    <w:pPr>
      <w:numPr>
        <w:ilvl w:val="5"/>
        <w:numId w:val="1"/>
      </w:numPr>
      <w:ind w:left="567" w:hanging="567"/>
      <w:outlineLvl w:val="5"/>
    </w:pPr>
  </w:style>
  <w:style w:type="paragraph" w:styleId="Heading7">
    <w:name w:val="heading 7"/>
    <w:basedOn w:val="Normal"/>
    <w:next w:val="Normal"/>
    <w:link w:val="Heading7Char"/>
    <w:qFormat/>
    <w:rsid w:val="00534436"/>
    <w:pPr>
      <w:numPr>
        <w:ilvl w:val="6"/>
        <w:numId w:val="1"/>
      </w:numPr>
      <w:ind w:left="567" w:hanging="567"/>
      <w:outlineLvl w:val="6"/>
    </w:pPr>
  </w:style>
  <w:style w:type="paragraph" w:styleId="Heading8">
    <w:name w:val="heading 8"/>
    <w:basedOn w:val="Normal"/>
    <w:next w:val="Normal"/>
    <w:link w:val="Heading8Char"/>
    <w:qFormat/>
    <w:rsid w:val="00534436"/>
    <w:pPr>
      <w:numPr>
        <w:ilvl w:val="7"/>
        <w:numId w:val="1"/>
      </w:numPr>
      <w:ind w:left="567" w:hanging="567"/>
      <w:outlineLvl w:val="7"/>
    </w:pPr>
  </w:style>
  <w:style w:type="paragraph" w:styleId="Heading9">
    <w:name w:val="heading 9"/>
    <w:basedOn w:val="Normal"/>
    <w:next w:val="Normal"/>
    <w:link w:val="Heading9Char"/>
    <w:qFormat/>
    <w:rsid w:val="0053443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534436"/>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534436"/>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534436"/>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534436"/>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534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36"/>
    <w:rPr>
      <w:rFonts w:ascii="Tahoma" w:hAnsi="Tahoma" w:cs="Tahoma"/>
      <w:sz w:val="16"/>
      <w:szCs w:val="16"/>
      <w:lang w:val="en-US" w:eastAsia="en-US" w:bidi="ar-SA"/>
    </w:rPr>
  </w:style>
  <w:style w:type="paragraph" w:customStyle="1" w:styleId="quotes">
    <w:name w:val="quotes"/>
    <w:basedOn w:val="Normal"/>
    <w:next w:val="Normal"/>
    <w:rsid w:val="00534436"/>
    <w:pPr>
      <w:ind w:left="7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436"/>
    <w:pPr>
      <w:spacing w:line="288" w:lineRule="auto"/>
      <w:jc w:val="both"/>
    </w:pPr>
    <w:rPr>
      <w:lang w:eastAsia="en-US" w:bidi="ar-SA"/>
    </w:rPr>
  </w:style>
  <w:style w:type="paragraph" w:styleId="Heading1">
    <w:name w:val="heading 1"/>
    <w:basedOn w:val="Normal"/>
    <w:next w:val="Normal"/>
    <w:link w:val="Heading1Char"/>
    <w:qFormat/>
    <w:rsid w:val="00534436"/>
    <w:pPr>
      <w:numPr>
        <w:numId w:val="1"/>
      </w:numPr>
      <w:ind w:left="567" w:hanging="567"/>
      <w:outlineLvl w:val="0"/>
    </w:pPr>
    <w:rPr>
      <w:kern w:val="28"/>
    </w:rPr>
  </w:style>
  <w:style w:type="paragraph" w:styleId="Heading2">
    <w:name w:val="heading 2"/>
    <w:basedOn w:val="Normal"/>
    <w:next w:val="Normal"/>
    <w:link w:val="Heading2Char"/>
    <w:qFormat/>
    <w:rsid w:val="00534436"/>
    <w:pPr>
      <w:numPr>
        <w:ilvl w:val="1"/>
        <w:numId w:val="1"/>
      </w:numPr>
      <w:ind w:left="567" w:hanging="567"/>
      <w:outlineLvl w:val="1"/>
    </w:pPr>
  </w:style>
  <w:style w:type="paragraph" w:styleId="Heading3">
    <w:name w:val="heading 3"/>
    <w:basedOn w:val="Normal"/>
    <w:next w:val="Normal"/>
    <w:link w:val="Heading3Char"/>
    <w:qFormat/>
    <w:rsid w:val="00534436"/>
    <w:pPr>
      <w:numPr>
        <w:ilvl w:val="2"/>
        <w:numId w:val="1"/>
      </w:numPr>
      <w:ind w:left="567" w:hanging="567"/>
      <w:outlineLvl w:val="2"/>
    </w:pPr>
  </w:style>
  <w:style w:type="paragraph" w:styleId="Heading4">
    <w:name w:val="heading 4"/>
    <w:basedOn w:val="Normal"/>
    <w:next w:val="Normal"/>
    <w:link w:val="Heading4Char"/>
    <w:qFormat/>
    <w:rsid w:val="00534436"/>
    <w:pPr>
      <w:numPr>
        <w:ilvl w:val="3"/>
        <w:numId w:val="1"/>
      </w:numPr>
      <w:ind w:left="567" w:hanging="567"/>
      <w:outlineLvl w:val="3"/>
    </w:pPr>
  </w:style>
  <w:style w:type="paragraph" w:styleId="Heading5">
    <w:name w:val="heading 5"/>
    <w:basedOn w:val="Normal"/>
    <w:next w:val="Normal"/>
    <w:link w:val="Heading5Char"/>
    <w:qFormat/>
    <w:rsid w:val="00534436"/>
    <w:pPr>
      <w:numPr>
        <w:ilvl w:val="4"/>
        <w:numId w:val="1"/>
      </w:numPr>
      <w:ind w:left="567" w:hanging="567"/>
      <w:outlineLvl w:val="4"/>
    </w:pPr>
  </w:style>
  <w:style w:type="paragraph" w:styleId="Heading6">
    <w:name w:val="heading 6"/>
    <w:basedOn w:val="Normal"/>
    <w:next w:val="Normal"/>
    <w:link w:val="Heading6Char"/>
    <w:qFormat/>
    <w:rsid w:val="00534436"/>
    <w:pPr>
      <w:numPr>
        <w:ilvl w:val="5"/>
        <w:numId w:val="1"/>
      </w:numPr>
      <w:ind w:left="567" w:hanging="567"/>
      <w:outlineLvl w:val="5"/>
    </w:pPr>
  </w:style>
  <w:style w:type="paragraph" w:styleId="Heading7">
    <w:name w:val="heading 7"/>
    <w:basedOn w:val="Normal"/>
    <w:next w:val="Normal"/>
    <w:link w:val="Heading7Char"/>
    <w:qFormat/>
    <w:rsid w:val="00534436"/>
    <w:pPr>
      <w:numPr>
        <w:ilvl w:val="6"/>
        <w:numId w:val="1"/>
      </w:numPr>
      <w:ind w:left="567" w:hanging="567"/>
      <w:outlineLvl w:val="6"/>
    </w:pPr>
  </w:style>
  <w:style w:type="paragraph" w:styleId="Heading8">
    <w:name w:val="heading 8"/>
    <w:basedOn w:val="Normal"/>
    <w:next w:val="Normal"/>
    <w:link w:val="Heading8Char"/>
    <w:qFormat/>
    <w:rsid w:val="00534436"/>
    <w:pPr>
      <w:numPr>
        <w:ilvl w:val="7"/>
        <w:numId w:val="1"/>
      </w:numPr>
      <w:ind w:left="567" w:hanging="567"/>
      <w:outlineLvl w:val="7"/>
    </w:pPr>
  </w:style>
  <w:style w:type="paragraph" w:styleId="Heading9">
    <w:name w:val="heading 9"/>
    <w:basedOn w:val="Normal"/>
    <w:next w:val="Normal"/>
    <w:link w:val="Heading9Char"/>
    <w:qFormat/>
    <w:rsid w:val="0053443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534436"/>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534436"/>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534436"/>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534436"/>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534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36"/>
    <w:rPr>
      <w:rFonts w:ascii="Tahoma" w:hAnsi="Tahoma" w:cs="Tahoma"/>
      <w:sz w:val="16"/>
      <w:szCs w:val="16"/>
      <w:lang w:val="en-US" w:eastAsia="en-US" w:bidi="ar-SA"/>
    </w:rPr>
  </w:style>
  <w:style w:type="paragraph" w:customStyle="1" w:styleId="quotes">
    <w:name w:val="quotes"/>
    <w:basedOn w:val="Normal"/>
    <w:next w:val="Normal"/>
    <w:rsid w:val="00534436"/>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sj.com/articles/SB10001424052748704575304575296243891721972" TargetMode="External"/><Relationship Id="rId3" Type="http://schemas.openxmlformats.org/officeDocument/2006/relationships/hyperlink" Target="http://www.wiwi-experimente.tu-berlin.de/fileadmin/fg210/nudging_to_reduce_food_waste_Georg_Liebig.pdf" TargetMode="External"/><Relationship Id="rId7" Type="http://schemas.openxmlformats.org/officeDocument/2006/relationships/hyperlink" Target="http://publications.jrc.ec.europa.eu/repository/bitstream/JRC100146/kjna27726enn_new.pdf" TargetMode="External"/><Relationship Id="rId2" Type="http://schemas.openxmlformats.org/officeDocument/2006/relationships/hyperlink" Target="https://www.youtube.com/watch?v=2lXh2n0aPyw" TargetMode="External"/><Relationship Id="rId1" Type="http://schemas.openxmlformats.org/officeDocument/2006/relationships/hyperlink" Target="http://www.prioriterre.org/ong/particuliers/a2210/une-nouvelle-edition-familles-a-energie-positive.html" TargetMode="External"/><Relationship Id="rId6" Type="http://schemas.openxmlformats.org/officeDocument/2006/relationships/hyperlink" Target="http://www.modernisation.gouv.fr/les-services-publics-se-simplifient-et-innovent/par-des-services-numeriques-aux-usagers/le-nudge-au-service-de-laction-publique" TargetMode="External"/><Relationship Id="rId5" Type="http://schemas.openxmlformats.org/officeDocument/2006/relationships/hyperlink" Target="https://www.whitehouse.gov/the-press-office/2015/09/15/executive-order-using-behavioral-science-insights-better-serve-american" TargetMode="External"/><Relationship Id="rId4" Type="http://schemas.openxmlformats.org/officeDocument/2006/relationships/hyperlink" Target="http://www.behaviouralinsight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3XPXQ63Y2AW3-4-10655</_dlc_DocId>
    <_dlc_DocIdUrl xmlns="8835a8a4-5a07-4207-ac1e-223f88a8f7af">
      <Url>http://dm/EESC/2016/_layouts/DocIdRedir.aspx?ID=3XPXQ63Y2AW3-4-10655</Url>
      <Description>3XPXQ63Y2AW3-4-10655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 xsi:nil="true"/>
    <MeetingNumber xmlns="de4cff7e-4e20-4eb3-a3d2-f9b81ff3cdf6"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2016-12-19T12:00:00+00:00</ProductionDate>
    <DocumentNumber xmlns="de4cff7e-4e20-4eb3-a3d2-f9b81ff3cdf6">1333</DocumentNumber>
    <FicheYear xmlns="8835a8a4-5a07-4207-ac1e-223f88a8f7af">2016</FicheYear>
    <DocumentVersion xmlns="8835a8a4-5a07-4207-ac1e-223f88a8f7af">1</DocumentVersion>
    <DossierNumber xmlns="8835a8a4-5a07-4207-ac1e-223f88a8f7af">685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MeetingDate xmlns="8835a8a4-5a07-4207-ac1e-223f88a8f7a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LIBAERT</Rapporteur>
    <DocumentYear xmlns="8835a8a4-5a07-4207-ac1e-223f88a8f7af">2016</DocumentYear>
    <FicheNumber xmlns="8835a8a4-5a07-4207-ac1e-223f88a8f7af">14301</FicheNumber>
    <DocumentPart xmlns="8835a8a4-5a07-4207-ac1e-223f88a8f7af">0</DocumentPart>
    <AdoptionDate xmlns="8835a8a4-5a07-4207-ac1e-223f88a8f7af">2016-12-15T12:00:00+00:00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25E4F99FF85F041A9387D78E8B8EE2D" ma:contentTypeVersion="4" ma:contentTypeDescription="Defines the documents for Document Manager V2" ma:contentTypeScope="" ma:versionID="e160df8343e79264e1beb3e8ab67aed6">
  <xsd:schema xmlns:xsd="http://www.w3.org/2001/XMLSchema" xmlns:xs="http://www.w3.org/2001/XMLSchema" xmlns:p="http://schemas.microsoft.com/office/2006/metadata/properties" xmlns:ns2="8835a8a4-5a07-4207-ac1e-223f88a8f7af" xmlns:ns3="http://schemas.microsoft.com/sharepoint/v3/fields" xmlns:ns4="de4cff7e-4e20-4eb3-a3d2-f9b81ff3cdf6" targetNamespace="http://schemas.microsoft.com/office/2006/metadata/properties" ma:root="true" ma:fieldsID="faef69ccf12077eadfc45ec2785a4fb4" ns2:_="" ns3:_="" ns4:_="">
    <xsd:import namespace="8835a8a4-5a07-4207-ac1e-223f88a8f7af"/>
    <xsd:import namespace="http://schemas.microsoft.com/sharepoint/v3/fields"/>
    <xsd:import namespace="de4cff7e-4e20-4eb3-a3d2-f9b81ff3cdf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cff7e-4e20-4eb3-a3d2-f9b81ff3cdf6"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file>

<file path=customXml/itemProps2.xml><?xml version="1.0" encoding="utf-8"?>
<ds:datastoreItem xmlns:ds="http://schemas.openxmlformats.org/officeDocument/2006/customXml" ds:itemID="{BA470676-BA11-4F02-B286-5FDA13F4F3A5}"/>
</file>

<file path=customXml/itemProps3.xml><?xml version="1.0" encoding="utf-8"?>
<ds:datastoreItem xmlns:ds="http://schemas.openxmlformats.org/officeDocument/2006/customXml" ds:itemID="{5F9CDA6A-6E57-48D9-B23B-C298388AF5F8}"/>
</file>

<file path=customXml/itemProps4.xml><?xml version="1.0" encoding="utf-8"?>
<ds:datastoreItem xmlns:ds="http://schemas.openxmlformats.org/officeDocument/2006/customXml" ds:itemID="{CD4ECFAA-3ABA-42E2-BB9E-46B13A2465B0}"/>
</file>

<file path=customXml/itemProps5.xml><?xml version="1.0" encoding="utf-8"?>
<ds:datastoreItem xmlns:ds="http://schemas.openxmlformats.org/officeDocument/2006/customXml" ds:itemID="{C54F567A-B33A-4660-9DCE-EE4AA6A33727}"/>
</file>

<file path=docProps/app.xml><?xml version="1.0" encoding="utf-8"?>
<Properties xmlns="http://schemas.openxmlformats.org/officeDocument/2006/extended-properties" xmlns:vt="http://schemas.openxmlformats.org/officeDocument/2006/docPropsVTypes">
  <Template>Styles.dotm</Template>
  <TotalTime>0</TotalTime>
  <Pages>3</Pages>
  <Words>3227</Words>
  <Characters>18482</Characters>
  <Application>Microsoft Office Word</Application>
  <DocSecurity>0</DocSecurity>
  <Lines>336</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Towards applying Nudge Thinking to EU Policies</vt:lpstr>
      <vt:lpstr>European Agenda on Migration: Second implementation package - A permanent crisis relocation mechanism under the Dublin system</vt:lpstr>
    </vt:vector>
  </TitlesOfParts>
  <Company>CESE-CdR</Company>
  <LinksUpToDate>false</LinksUpToDate>
  <CharactersWithSpaces>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la prise en compte du «nudge» dans les politiques européennes</dc:title>
  <dc:subject>Avis comité</dc:subject>
  <dc:creator/>
  <cp:keywords>EESC-2016-01333-00-01-AC-TRA-FR</cp:keywords>
  <dc:description>Rapporteur : LIBAERT_x000d_
Langue originale : FR_x000d_
Date du document : 19/12/2016_x000d_
Date de la réunion : _x000d_
Documents externes : -_x000d_
Fonctionnaire responsable : PORCHER Fabien, téléphone : + 2 546 9098_x000d_
_x000d_
Résumé :</dc:description>
  <cp:lastModifiedBy>Valeria Randon</cp:lastModifiedBy>
  <cp:revision>3</cp:revision>
  <cp:lastPrinted>2016-12-15T15:41:00Z</cp:lastPrinted>
  <dcterms:created xsi:type="dcterms:W3CDTF">2016-12-19T07:37:00Z</dcterms:created>
  <dcterms:modified xsi:type="dcterms:W3CDTF">2016-12-19T07:39:00Z</dcterms:modified>
  <cp:category>NAT/685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16/12/2016, 15/12/2016, 06/12/2016, 17/10/2016, 04/11/2015, 27/10/2015, 19/10/2015, 09/10/2015, 05/10/2015, 05/10/2015, 26/08/2015, 26/08/2015, 25/08/2015</vt:lpwstr>
  </property>
  <property fmtid="{D5CDD505-2E9C-101B-9397-08002B2CF9AE}" pid="4" name="Pref_Time">
    <vt:lpwstr>18:54:04, 17:12:14, 13:11:12, 11:34:29, 12:10:07, 14:44:02, 16:04:16, 14:09:30, 16:24:55, 16:04:02, 08:56:14, 07:27:56, 17:31:53</vt:lpwstr>
  </property>
  <property fmtid="{D5CDD505-2E9C-101B-9397-08002B2CF9AE}" pid="5" name="Pref_User">
    <vt:lpwstr>enied, enied, mreg, enied, ssex, enied, amett, tvoc, mreg, mreg, amett, enied, ssex</vt:lpwstr>
  </property>
  <property fmtid="{D5CDD505-2E9C-101B-9397-08002B2CF9AE}" pid="6" name="Pref_FileName">
    <vt:lpwstr>EESC-2016-01333-00-01-AC-ORI.docx, EESC-2016-01333-00-00-AC-TRA-FR-CRR.docx, EESC-2016-01333-00-00-AS-TRA-FR-CRR.docx, EESC-2016-01333-00-00-PA-TRA-FR-CRR.docx, EESC-2015-05408-00-00-PA-CRR-EN.docx, EESC-2015-05408-00-01-APA-ORI.docx, EESC-2015-04319-00-0</vt:lpwstr>
  </property>
  <property fmtid="{D5CDD505-2E9C-101B-9397-08002B2CF9AE}" pid="7" name="ContentTypeId">
    <vt:lpwstr>0x010100EA97B91038054C99906057A708A1480A00125E4F99FF85F041A9387D78E8B8EE2D</vt:lpwstr>
  </property>
  <property fmtid="{D5CDD505-2E9C-101B-9397-08002B2CF9AE}" pid="8" name="_dlc_DocIdItemGuid">
    <vt:lpwstr>d765abf5-57c9-4033-b713-0225b5be469a</vt:lpwstr>
  </property>
  <property fmtid="{D5CDD505-2E9C-101B-9397-08002B2CF9AE}" pid="9" name="AvailableTranslations">
    <vt:lpwstr>4;#FR|d2afafd3-4c81-4f60-8f52-ee33f2f54ff3;#17;#NL|55c6556c-b4f4-441d-9acf-c498d4f838bd;#39;#CS|72f9705b-0217-4fd3-bea2-cbc7ed80e26e;#29;#MT|7df99101-6854-4a26-b53a-b88c0da02c26;#15;#IT|0774613c-01ed-4e5d-a25d-11d2388de825;#36;#LV|46f7e311-5d9f-4663-b433-18aeccb7ace7;#22;#DE|f6b31e5a-26fa-4935-b661-318e46daf27e;#21;#SL|98a412ae-eb01-49e9-ae3d-585a81724cfc;#34;#BG|1a1b3951-7821-4e6a-85f5-5673fc08bd2c;#33;#SK|46d9fce0-ef79-4f71-b89b-cd6aa82426b8;#26;#ET|ff6c3f4c-b02c-4c3c-ab07-2c37995a7a0a;#38;#HR|2f555653-ed1a-4fe6-8362-9082d95989e5;#18;#SV|c2ed69e7-a339-43d7-8f22-d93680a92aa0;#19;#PT|50ccc04a-eadd-42ae-a0cb-acaf45f812ba;#28;#ES|e7a6b05b-ae16-40c8-add9-68b64b03aeba;#16;#DA|5d49c027-8956-412b-aa16-e85a0f96ad0e;#24;#PL|1e03da61-4678-4e07-b136-b5024ca9197b;#35;#HU|6b229040-c589-4408-b4c1-4285663d20a8;#40;#FI|87606a43-d45f-42d6-b8c9-e1a3457db5b7;#10;#EN|f2175f21-25d7-44a3-96da-d6a61b075e1b;#25;#RO|feb747a2-64cd-4299-af12-4833ddc30497;#23;#EL|6d4f4d51-af9b-4650-94b4-4276bee85c91;#37;#LT|a7ff5ce7-6123-4f68-865a-a57c31810414</vt:lpwstr>
  </property>
  <property fmtid="{D5CDD505-2E9C-101B-9397-08002B2CF9AE}" pid="10" name="DossierName">
    <vt:lpwstr>65;#NAT|b263ab5d-0564-42a8-87bf-1cc57d938922</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4;#FR|d2afafd3-4c81-4f60-8f52-ee33f2f54ff3</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143;#AC|a4cc1d15-fb08-4679-ad46-e4e0cba5fe92</vt:lpwstr>
  </property>
  <property fmtid="{D5CDD505-2E9C-101B-9397-08002B2CF9AE}" pid="18" name="DocumentLanguage">
    <vt:lpwstr>4;#FR|d2afafd3-4c81-4f60-8f52-ee33f2f54ff3</vt:lpwstr>
  </property>
  <property fmtid="{D5CDD505-2E9C-101B-9397-08002B2CF9AE}" pid="19" name="DocumentType_0">
    <vt:lpwstr>AC|a4cc1d15-fb08-4679-ad46-e4e0cba5fe92</vt:lpwstr>
  </property>
  <property fmtid="{D5CDD505-2E9C-101B-9397-08002B2CF9AE}" pid="20" name="DossierName_0">
    <vt:lpwstr>NAT|b263ab5d-0564-42a8-87bf-1cc57d938922</vt:lpwstr>
  </property>
  <property fmtid="{D5CDD505-2E9C-101B-9397-08002B2CF9AE}" pid="21" name="DocumentSource_0">
    <vt:lpwstr>EESC|422833ec-8d7e-4e65-8e4e-8bed07ffb729</vt:lpwstr>
  </property>
  <property fmtid="{D5CDD505-2E9C-101B-9397-08002B2CF9AE}" pid="22" name="Confidentiality_0">
    <vt:lpwstr>Unrestricted|826e22d7-d029-4ec0-a450-0c28ff673572</vt:lpwstr>
  </property>
  <property fmtid="{D5CDD505-2E9C-101B-9397-08002B2CF9AE}" pid="23" name="MeetingName_0">
    <vt:lpwstr/>
  </property>
  <property fmtid="{D5CDD505-2E9C-101B-9397-08002B2CF9AE}" pid="24" name="DocumentStatus_0">
    <vt:lpwstr>TRA|150d2a88-1431-44e6-a8ca-0bb753ab8672</vt:lpwstr>
  </property>
  <property fmtid="{D5CDD505-2E9C-101B-9397-08002B2CF9AE}" pid="25" name="OriginalLanguage_0">
    <vt:lpwstr>FR|d2afafd3-4c81-4f60-8f52-ee33f2f54ff3</vt:lpwstr>
  </property>
  <property fmtid="{D5CDD505-2E9C-101B-9397-08002B2CF9AE}" pid="26" name="DocumentLanguage_0">
    <vt:lpwstr>ES|e7a6b05b-ae16-40c8-add9-68b64b03aeba</vt:lpwstr>
  </property>
  <property fmtid="{D5CDD505-2E9C-101B-9397-08002B2CF9AE}" pid="27" name="TaxCatchAll">
    <vt:lpwstr>65;#NAT|b263ab5d-0564-42a8-87bf-1cc57d938922;#28;#ES|e7a6b05b-ae16-40c8-add9-68b64b03aeba;#5;#Unrestricted|826e22d7-d029-4ec0-a450-0c28ff673572;#6;#Final|ea5e6674-7b27-4bac-b091-73adbb394efe;#143;#AC|a4cc1d15-fb08-4679-ad46-e4e0cba5fe92;#4;#FR|d2afafd3-4c81-4f60-8f52-ee33f2f54ff3;#2;#TRA|150d2a88-1431-44e6-a8ca-0bb753ab8672;#1;#EESC|422833ec-8d7e-4e65-8e4e-8bed07ffb729</vt:lpwstr>
  </property>
  <property fmtid="{D5CDD505-2E9C-101B-9397-08002B2CF9AE}" pid="28" name="AvailableTranslations_0">
    <vt:lpwstr>FR|d2afafd3-4c81-4f60-8f52-ee33f2f54ff3</vt:lpwstr>
  </property>
  <property fmtid="{D5CDD505-2E9C-101B-9397-08002B2CF9AE}" pid="29" name="VersionStatus_0">
    <vt:lpwstr>Final|ea5e6674-7b27-4bac-b091-73adbb394efe</vt:lpwstr>
  </property>
  <property fmtid="{D5CDD505-2E9C-101B-9397-08002B2CF9AE}" pid="30" name="StyleCheckSum">
    <vt:lpwstr>45307_C1175_P128_L4</vt:lpwstr>
  </property>
  <property fmtid="{D5CDD505-2E9C-101B-9397-08002B2CF9AE}" pid="31" name="_dlc_DocId">
    <vt:lpwstr>SNS6YXTC77FS-6-5359</vt:lpwstr>
  </property>
  <property fmtid="{D5CDD505-2E9C-101B-9397-08002B2CF9AE}" pid="32" name="_dlc_DocIdUrl">
    <vt:lpwstr>http://dm/EESC/2015/_layouts/DocIdRedir.aspx?ID=SNS6YXTC77FS-6-5359, SNS6YXTC77FS-6-5359</vt:lpwstr>
  </property>
  <property fmtid="{D5CDD505-2E9C-101B-9397-08002B2CF9AE}" pid="33" name="MeetingNumber">
    <vt:i4>521</vt:i4>
  </property>
  <property fmtid="{D5CDD505-2E9C-101B-9397-08002B2CF9AE}" pid="34" name="ProductionDate">
    <vt:filetime>2015-10-12T14:00:00Z</vt:filetime>
  </property>
  <property fmtid="{D5CDD505-2E9C-101B-9397-08002B2CF9AE}" pid="35" name="DocumentNumber">
    <vt:i4>1333</vt:i4>
  </property>
  <property fmtid="{D5CDD505-2E9C-101B-9397-08002B2CF9AE}" pid="36" name="FicheYear">
    <vt:i4>2016</vt:i4>
  </property>
  <property fmtid="{D5CDD505-2E9C-101B-9397-08002B2CF9AE}" pid="37" name="DocumentVersion">
    <vt:i4>1</vt:i4>
  </property>
  <property fmtid="{D5CDD505-2E9C-101B-9397-08002B2CF9AE}" pid="38" name="DossierNumber">
    <vt:i4>685</vt:i4>
  </property>
  <property fmtid="{D5CDD505-2E9C-101B-9397-08002B2CF9AE}" pid="39" name="Rapporteur">
    <vt:lpwstr>LIBAERT</vt:lpwstr>
  </property>
  <property fmtid="{D5CDD505-2E9C-101B-9397-08002B2CF9AE}" pid="40" name="DocumentYear">
    <vt:i4>2016</vt:i4>
  </property>
  <property fmtid="{D5CDD505-2E9C-101B-9397-08002B2CF9AE}" pid="41" name="FicheNumber">
    <vt:i4>14301</vt:i4>
  </property>
  <property fmtid="{D5CDD505-2E9C-101B-9397-08002B2CF9AE}" pid="42" name="DocumentPart">
    <vt:i4>0</vt:i4>
  </property>
  <property fmtid="{D5CDD505-2E9C-101B-9397-08002B2CF9AE}" pid="43" name="RequestingService">
    <vt:lpwstr>Agriculture, développement rural et environnement</vt:lpwstr>
  </property>
  <property fmtid="{D5CDD505-2E9C-101B-9397-08002B2CF9AE}" pid="44" name="Procedure">
    <vt:lpwstr>2015/0208(COD)</vt:lpwstr>
  </property>
  <property fmtid="{D5CDD505-2E9C-101B-9397-08002B2CF9AE}" pid="45" name="AdoptionDate">
    <vt:filetime>2016-12-15T12:00:00Z</vt:filetime>
  </property>
</Properties>
</file>